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02" w:type="dxa"/>
        <w:tblInd w:w="-14" w:type="dxa"/>
        <w:tblLayout w:type="fixed"/>
        <w:tblCellMar>
          <w:left w:w="0" w:type="dxa"/>
          <w:right w:w="0" w:type="dxa"/>
        </w:tblCellMar>
        <w:tblLook w:val="0000" w:firstRow="0" w:lastRow="0" w:firstColumn="0" w:lastColumn="0" w:noHBand="0" w:noVBand="0"/>
      </w:tblPr>
      <w:tblGrid>
        <w:gridCol w:w="1002"/>
        <w:gridCol w:w="845"/>
        <w:gridCol w:w="1128"/>
        <w:gridCol w:w="186"/>
        <w:gridCol w:w="1927"/>
        <w:gridCol w:w="2637"/>
        <w:gridCol w:w="608"/>
        <w:gridCol w:w="1312"/>
        <w:gridCol w:w="57"/>
      </w:tblGrid>
      <w:tr w:rsidR="00275F61" w:rsidRPr="00275F61" w14:paraId="33D77439" w14:textId="77777777">
        <w:trPr>
          <w:cantSplit/>
        </w:trPr>
        <w:tc>
          <w:tcPr>
            <w:tcW w:w="9702" w:type="dxa"/>
            <w:gridSpan w:val="9"/>
            <w:tcBorders>
              <w:top w:val="single" w:sz="4" w:space="0" w:color="auto"/>
              <w:bottom w:val="single" w:sz="4" w:space="0" w:color="auto"/>
            </w:tcBorders>
            <w:vAlign w:val="center"/>
          </w:tcPr>
          <w:p w14:paraId="6BEB1026" w14:textId="6B4C1AD2" w:rsidR="00C54FEF" w:rsidRPr="00275F61" w:rsidRDefault="00535E8F" w:rsidP="00535E8F">
            <w:pPr>
              <w:rPr>
                <w:rFonts w:cs="Arial"/>
                <w:color w:val="000000" w:themeColor="text1"/>
                <w:sz w:val="20"/>
              </w:rPr>
            </w:pPr>
            <w:r w:rsidRPr="00275F61">
              <w:rPr>
                <w:rFonts w:cs="Arial"/>
                <w:color w:val="000000" w:themeColor="text1"/>
                <w:sz w:val="20"/>
              </w:rPr>
              <w:t>Treinamento recomendado</w:t>
            </w:r>
            <w:r w:rsidR="00C54FEF" w:rsidRPr="00275F61">
              <w:rPr>
                <w:rFonts w:cs="Arial"/>
                <w:color w:val="000000" w:themeColor="text1"/>
                <w:sz w:val="20"/>
              </w:rPr>
              <w:t xml:space="preserve">:    </w:t>
            </w:r>
            <w:r w:rsidR="00D81D9F" w:rsidRPr="00275F61">
              <w:rPr>
                <w:rFonts w:cs="Arial"/>
                <w:color w:val="000000" w:themeColor="text1"/>
                <w:sz w:val="20"/>
              </w:rPr>
              <w:fldChar w:fldCharType="begin">
                <w:ffData>
                  <w:name w:val="Selecionar1"/>
                  <w:enabled/>
                  <w:calcOnExit w:val="0"/>
                  <w:checkBox>
                    <w:sizeAuto/>
                    <w:default w:val="1"/>
                  </w:checkBox>
                </w:ffData>
              </w:fldChar>
            </w:r>
            <w:bookmarkStart w:id="0" w:name="Selecionar1"/>
            <w:r w:rsidR="00C54FEF" w:rsidRPr="00275F61">
              <w:rPr>
                <w:rFonts w:cs="Arial"/>
                <w:color w:val="000000" w:themeColor="text1"/>
                <w:sz w:val="20"/>
              </w:rPr>
              <w:instrText xml:space="preserve"> FORMCHECKBOX </w:instrText>
            </w:r>
            <w:r w:rsidR="005A7E4F">
              <w:rPr>
                <w:rFonts w:cs="Arial"/>
                <w:color w:val="000000" w:themeColor="text1"/>
                <w:sz w:val="20"/>
              </w:rPr>
            </w:r>
            <w:r w:rsidR="005A7E4F">
              <w:rPr>
                <w:rFonts w:cs="Arial"/>
                <w:color w:val="000000" w:themeColor="text1"/>
                <w:sz w:val="20"/>
              </w:rPr>
              <w:fldChar w:fldCharType="separate"/>
            </w:r>
            <w:r w:rsidR="00D81D9F" w:rsidRPr="00275F61">
              <w:rPr>
                <w:rFonts w:cs="Arial"/>
                <w:color w:val="000000" w:themeColor="text1"/>
                <w:sz w:val="20"/>
              </w:rPr>
              <w:fldChar w:fldCharType="end"/>
            </w:r>
            <w:bookmarkEnd w:id="0"/>
            <w:r w:rsidR="00C54FEF" w:rsidRPr="00275F61">
              <w:rPr>
                <w:rFonts w:cs="Arial"/>
                <w:color w:val="000000" w:themeColor="text1"/>
                <w:sz w:val="20"/>
              </w:rPr>
              <w:t xml:space="preserve"> - formal          </w:t>
            </w:r>
            <w:r w:rsidR="00D81D9F" w:rsidRPr="00275F61">
              <w:rPr>
                <w:rFonts w:cs="Arial"/>
                <w:color w:val="000000" w:themeColor="text1"/>
                <w:sz w:val="20"/>
              </w:rPr>
              <w:fldChar w:fldCharType="begin">
                <w:ffData>
                  <w:name w:val="Selecionar2"/>
                  <w:enabled/>
                  <w:calcOnExit w:val="0"/>
                  <w:checkBox>
                    <w:sizeAuto/>
                    <w:default w:val="0"/>
                  </w:checkBox>
                </w:ffData>
              </w:fldChar>
            </w:r>
            <w:bookmarkStart w:id="1" w:name="Selecionar2"/>
            <w:r w:rsidR="00C54FEF" w:rsidRPr="00275F61">
              <w:rPr>
                <w:rFonts w:cs="Arial"/>
                <w:color w:val="000000" w:themeColor="text1"/>
                <w:sz w:val="20"/>
              </w:rPr>
              <w:instrText xml:space="preserve"> FORMCHECKBOX </w:instrText>
            </w:r>
            <w:r w:rsidR="005A7E4F">
              <w:rPr>
                <w:rFonts w:cs="Arial"/>
                <w:color w:val="000000" w:themeColor="text1"/>
                <w:sz w:val="20"/>
              </w:rPr>
            </w:r>
            <w:r w:rsidR="005A7E4F">
              <w:rPr>
                <w:rFonts w:cs="Arial"/>
                <w:color w:val="000000" w:themeColor="text1"/>
                <w:sz w:val="20"/>
              </w:rPr>
              <w:fldChar w:fldCharType="separate"/>
            </w:r>
            <w:r w:rsidR="00D81D9F" w:rsidRPr="00275F61">
              <w:rPr>
                <w:rFonts w:cs="Arial"/>
                <w:color w:val="000000" w:themeColor="text1"/>
                <w:sz w:val="20"/>
              </w:rPr>
              <w:fldChar w:fldCharType="end"/>
            </w:r>
            <w:bookmarkEnd w:id="1"/>
            <w:r w:rsidR="00C54FEF" w:rsidRPr="00275F61">
              <w:rPr>
                <w:rFonts w:cs="Arial"/>
                <w:color w:val="000000" w:themeColor="text1"/>
                <w:sz w:val="20"/>
              </w:rPr>
              <w:t xml:space="preserve"> - leitura (sem necessidade de manter em registro) </w:t>
            </w:r>
          </w:p>
        </w:tc>
      </w:tr>
      <w:tr w:rsidR="00275F61" w:rsidRPr="00275F61" w14:paraId="6BE9DE6E" w14:textId="77777777">
        <w:tblPrEx>
          <w:tblCellMar>
            <w:left w:w="57" w:type="dxa"/>
            <w:right w:w="57" w:type="dxa"/>
          </w:tblCellMar>
        </w:tblPrEx>
        <w:trPr>
          <w:gridAfter w:val="1"/>
          <w:wAfter w:w="57" w:type="dxa"/>
          <w:cantSplit/>
          <w:trHeight w:hRule="exact" w:val="397"/>
        </w:trPr>
        <w:tc>
          <w:tcPr>
            <w:tcW w:w="9702" w:type="dxa"/>
            <w:gridSpan w:val="8"/>
            <w:tcBorders>
              <w:top w:val="single" w:sz="12" w:space="0" w:color="auto"/>
              <w:bottom w:val="single" w:sz="12" w:space="0" w:color="auto"/>
            </w:tcBorders>
            <w:vAlign w:val="center"/>
          </w:tcPr>
          <w:p w14:paraId="6B927044" w14:textId="77777777" w:rsidR="00C54FEF" w:rsidRPr="00275F61" w:rsidRDefault="00C54FEF">
            <w:pPr>
              <w:spacing w:before="0" w:after="0"/>
              <w:jc w:val="center"/>
              <w:rPr>
                <w:rFonts w:cs="Arial"/>
                <w:b/>
                <w:color w:val="000000" w:themeColor="text1"/>
              </w:rPr>
            </w:pPr>
            <w:r w:rsidRPr="00275F61">
              <w:rPr>
                <w:rFonts w:cs="Arial"/>
                <w:b/>
                <w:color w:val="000000" w:themeColor="text1"/>
              </w:rPr>
              <w:t>Controle de revisão</w:t>
            </w:r>
          </w:p>
        </w:tc>
      </w:tr>
      <w:tr w:rsidR="00275F61" w:rsidRPr="00275F61" w14:paraId="071AEAD1" w14:textId="77777777" w:rsidTr="008B559C">
        <w:tblPrEx>
          <w:tblCellMar>
            <w:left w:w="57" w:type="dxa"/>
            <w:right w:w="57" w:type="dxa"/>
          </w:tblCellMar>
        </w:tblPrEx>
        <w:trPr>
          <w:gridAfter w:val="1"/>
          <w:wAfter w:w="57" w:type="dxa"/>
          <w:cantSplit/>
        </w:trPr>
        <w:tc>
          <w:tcPr>
            <w:tcW w:w="1007" w:type="dxa"/>
            <w:tcBorders>
              <w:bottom w:val="single" w:sz="6" w:space="0" w:color="auto"/>
            </w:tcBorders>
            <w:vAlign w:val="center"/>
          </w:tcPr>
          <w:p w14:paraId="06071A60" w14:textId="77777777" w:rsidR="00C54FEF" w:rsidRPr="00275F61" w:rsidRDefault="00C54FEF" w:rsidP="00E2088E">
            <w:pPr>
              <w:spacing w:after="0"/>
              <w:jc w:val="center"/>
              <w:rPr>
                <w:rFonts w:cs="Arial"/>
                <w:b/>
                <w:color w:val="000000" w:themeColor="text1"/>
                <w:sz w:val="20"/>
              </w:rPr>
            </w:pPr>
            <w:r w:rsidRPr="00275F61">
              <w:rPr>
                <w:rFonts w:cs="Arial"/>
                <w:b/>
                <w:color w:val="000000" w:themeColor="text1"/>
                <w:sz w:val="20"/>
              </w:rPr>
              <w:t>Revisão</w:t>
            </w:r>
          </w:p>
        </w:tc>
        <w:tc>
          <w:tcPr>
            <w:tcW w:w="850" w:type="dxa"/>
            <w:tcBorders>
              <w:left w:val="single" w:sz="6" w:space="0" w:color="auto"/>
              <w:bottom w:val="single" w:sz="6" w:space="0" w:color="auto"/>
              <w:right w:val="single" w:sz="6" w:space="0" w:color="auto"/>
            </w:tcBorders>
            <w:vAlign w:val="center"/>
          </w:tcPr>
          <w:p w14:paraId="598B8474" w14:textId="77777777" w:rsidR="00C54FEF" w:rsidRPr="00275F61" w:rsidRDefault="00C54FEF">
            <w:pPr>
              <w:spacing w:after="0"/>
              <w:jc w:val="center"/>
              <w:rPr>
                <w:rFonts w:cs="Arial"/>
                <w:b/>
                <w:color w:val="000000" w:themeColor="text1"/>
                <w:sz w:val="20"/>
              </w:rPr>
            </w:pPr>
            <w:r w:rsidRPr="00275F61">
              <w:rPr>
                <w:rFonts w:cs="Arial"/>
                <w:b/>
                <w:color w:val="000000" w:themeColor="text1"/>
                <w:sz w:val="20"/>
              </w:rPr>
              <w:t>Data</w:t>
            </w:r>
          </w:p>
        </w:tc>
        <w:tc>
          <w:tcPr>
            <w:tcW w:w="1321" w:type="dxa"/>
            <w:gridSpan w:val="2"/>
            <w:tcBorders>
              <w:bottom w:val="single" w:sz="6" w:space="0" w:color="auto"/>
              <w:right w:val="single" w:sz="6" w:space="0" w:color="auto"/>
            </w:tcBorders>
            <w:vAlign w:val="center"/>
          </w:tcPr>
          <w:p w14:paraId="58653D17" w14:textId="77777777" w:rsidR="00C54FEF" w:rsidRPr="00275F61" w:rsidRDefault="00C54FEF">
            <w:pPr>
              <w:spacing w:after="0"/>
              <w:jc w:val="center"/>
              <w:rPr>
                <w:rFonts w:cs="Arial"/>
                <w:b/>
                <w:color w:val="000000" w:themeColor="text1"/>
                <w:sz w:val="20"/>
              </w:rPr>
            </w:pPr>
            <w:r w:rsidRPr="00275F61">
              <w:rPr>
                <w:rFonts w:cs="Arial"/>
                <w:b/>
                <w:color w:val="000000" w:themeColor="text1"/>
                <w:sz w:val="20"/>
              </w:rPr>
              <w:t>Item</w:t>
            </w:r>
          </w:p>
        </w:tc>
        <w:tc>
          <w:tcPr>
            <w:tcW w:w="6524" w:type="dxa"/>
            <w:gridSpan w:val="4"/>
            <w:tcBorders>
              <w:bottom w:val="single" w:sz="6" w:space="0" w:color="auto"/>
            </w:tcBorders>
            <w:vAlign w:val="center"/>
          </w:tcPr>
          <w:p w14:paraId="3EE58B39" w14:textId="77777777" w:rsidR="00C54FEF" w:rsidRPr="00275F61" w:rsidRDefault="00C54FEF">
            <w:pPr>
              <w:spacing w:after="0"/>
              <w:jc w:val="center"/>
              <w:rPr>
                <w:rFonts w:cs="Arial"/>
                <w:b/>
                <w:color w:val="000000" w:themeColor="text1"/>
                <w:sz w:val="20"/>
              </w:rPr>
            </w:pPr>
            <w:r w:rsidRPr="00275F61">
              <w:rPr>
                <w:rFonts w:cs="Arial"/>
                <w:b/>
                <w:color w:val="000000" w:themeColor="text1"/>
                <w:sz w:val="20"/>
              </w:rPr>
              <w:t>Descrição das alterações</w:t>
            </w:r>
          </w:p>
        </w:tc>
      </w:tr>
      <w:tr w:rsidR="00275F61" w:rsidRPr="00275F61" w14:paraId="5442C78A" w14:textId="77777777" w:rsidTr="00F37EA5">
        <w:tblPrEx>
          <w:tblCellMar>
            <w:left w:w="57" w:type="dxa"/>
            <w:right w:w="57" w:type="dxa"/>
          </w:tblCellMar>
        </w:tblPrEx>
        <w:trPr>
          <w:gridAfter w:val="1"/>
          <w:wAfter w:w="57" w:type="dxa"/>
          <w:cantSplit/>
        </w:trPr>
        <w:tc>
          <w:tcPr>
            <w:tcW w:w="1007" w:type="dxa"/>
            <w:tcBorders>
              <w:bottom w:val="single" w:sz="4" w:space="0" w:color="auto"/>
            </w:tcBorders>
          </w:tcPr>
          <w:p w14:paraId="2EAF16FD" w14:textId="1CE6F15F" w:rsidR="000F0EDC" w:rsidRPr="00275F61" w:rsidRDefault="00D70CC0" w:rsidP="00401E68">
            <w:pPr>
              <w:jc w:val="center"/>
              <w:rPr>
                <w:rFonts w:cs="Arial"/>
                <w:color w:val="000000" w:themeColor="text1"/>
                <w:sz w:val="18"/>
              </w:rPr>
            </w:pPr>
            <w:r w:rsidRPr="00275F61">
              <w:rPr>
                <w:rFonts w:cs="Arial"/>
                <w:color w:val="000000" w:themeColor="text1"/>
                <w:sz w:val="18"/>
              </w:rPr>
              <w:t>A</w:t>
            </w:r>
          </w:p>
        </w:tc>
        <w:tc>
          <w:tcPr>
            <w:tcW w:w="850" w:type="dxa"/>
            <w:tcBorders>
              <w:left w:val="single" w:sz="6" w:space="0" w:color="auto"/>
              <w:bottom w:val="single" w:sz="4" w:space="0" w:color="auto"/>
              <w:right w:val="single" w:sz="6" w:space="0" w:color="auto"/>
            </w:tcBorders>
          </w:tcPr>
          <w:p w14:paraId="0E11B132" w14:textId="722C466C" w:rsidR="000F0EDC" w:rsidRPr="00275F61" w:rsidRDefault="00F91999" w:rsidP="00275F61">
            <w:pPr>
              <w:jc w:val="center"/>
              <w:rPr>
                <w:rFonts w:cs="Arial"/>
                <w:color w:val="000000" w:themeColor="text1"/>
                <w:sz w:val="18"/>
              </w:rPr>
            </w:pPr>
            <w:r>
              <w:rPr>
                <w:rFonts w:cs="Arial"/>
                <w:color w:val="000000" w:themeColor="text1"/>
                <w:sz w:val="18"/>
              </w:rPr>
              <w:t>11</w:t>
            </w:r>
            <w:r w:rsidR="001B2AC7">
              <w:rPr>
                <w:rFonts w:cs="Arial"/>
                <w:color w:val="000000" w:themeColor="text1"/>
                <w:sz w:val="18"/>
              </w:rPr>
              <w:t>/10/16</w:t>
            </w:r>
          </w:p>
        </w:tc>
        <w:tc>
          <w:tcPr>
            <w:tcW w:w="1321" w:type="dxa"/>
            <w:gridSpan w:val="2"/>
            <w:tcBorders>
              <w:bottom w:val="single" w:sz="4" w:space="0" w:color="auto"/>
              <w:right w:val="single" w:sz="6" w:space="0" w:color="auto"/>
            </w:tcBorders>
          </w:tcPr>
          <w:p w14:paraId="57C77100" w14:textId="5AFC21DC" w:rsidR="000F0EDC" w:rsidRPr="00275F61" w:rsidRDefault="00D70CC0" w:rsidP="00401E68">
            <w:pPr>
              <w:jc w:val="center"/>
              <w:rPr>
                <w:rFonts w:cs="Arial"/>
                <w:color w:val="000000" w:themeColor="text1"/>
                <w:sz w:val="18"/>
              </w:rPr>
            </w:pPr>
            <w:r w:rsidRPr="00275F61">
              <w:rPr>
                <w:rFonts w:cs="Arial"/>
                <w:color w:val="000000" w:themeColor="text1"/>
                <w:sz w:val="18"/>
              </w:rPr>
              <w:t>-</w:t>
            </w:r>
          </w:p>
        </w:tc>
        <w:tc>
          <w:tcPr>
            <w:tcW w:w="6524" w:type="dxa"/>
            <w:gridSpan w:val="4"/>
            <w:tcBorders>
              <w:bottom w:val="single" w:sz="4" w:space="0" w:color="auto"/>
            </w:tcBorders>
            <w:vAlign w:val="center"/>
          </w:tcPr>
          <w:p w14:paraId="194702CA" w14:textId="77777777" w:rsidR="000F0EDC" w:rsidRPr="00275F61" w:rsidRDefault="009E3FE8" w:rsidP="00D41768">
            <w:pPr>
              <w:rPr>
                <w:rFonts w:cs="Arial"/>
                <w:color w:val="000000" w:themeColor="text1"/>
                <w:sz w:val="18"/>
                <w:szCs w:val="18"/>
              </w:rPr>
            </w:pPr>
            <w:r w:rsidRPr="00275F61">
              <w:rPr>
                <w:rFonts w:cs="Arial"/>
                <w:color w:val="000000" w:themeColor="text1"/>
                <w:sz w:val="18"/>
                <w:szCs w:val="18"/>
              </w:rPr>
              <w:t>Emissão Inicial</w:t>
            </w:r>
          </w:p>
        </w:tc>
      </w:tr>
      <w:tr w:rsidR="00275F61" w:rsidRPr="00275F61" w14:paraId="563D3CDA" w14:textId="77777777" w:rsidTr="00F37EA5">
        <w:tblPrEx>
          <w:tblCellMar>
            <w:left w:w="57" w:type="dxa"/>
            <w:right w:w="57" w:type="dxa"/>
          </w:tblCellMar>
        </w:tblPrEx>
        <w:trPr>
          <w:gridAfter w:val="1"/>
          <w:wAfter w:w="57" w:type="dxa"/>
          <w:cantSplit/>
        </w:trPr>
        <w:tc>
          <w:tcPr>
            <w:tcW w:w="1007" w:type="dxa"/>
            <w:tcBorders>
              <w:top w:val="single" w:sz="4" w:space="0" w:color="auto"/>
            </w:tcBorders>
          </w:tcPr>
          <w:p w14:paraId="20EDCFE7" w14:textId="77777777" w:rsidR="003011DE" w:rsidRPr="00275F61" w:rsidRDefault="003011DE" w:rsidP="00401E68">
            <w:pPr>
              <w:jc w:val="center"/>
              <w:rPr>
                <w:rFonts w:cs="Arial"/>
                <w:color w:val="000000" w:themeColor="text1"/>
                <w:sz w:val="18"/>
              </w:rPr>
            </w:pPr>
          </w:p>
        </w:tc>
        <w:tc>
          <w:tcPr>
            <w:tcW w:w="850" w:type="dxa"/>
            <w:tcBorders>
              <w:top w:val="single" w:sz="4" w:space="0" w:color="auto"/>
              <w:left w:val="single" w:sz="6" w:space="0" w:color="auto"/>
              <w:right w:val="single" w:sz="6" w:space="0" w:color="auto"/>
            </w:tcBorders>
          </w:tcPr>
          <w:p w14:paraId="5E4D916E" w14:textId="77777777" w:rsidR="003011DE" w:rsidRPr="00275F61" w:rsidRDefault="003011DE" w:rsidP="00401E68">
            <w:pPr>
              <w:jc w:val="center"/>
              <w:rPr>
                <w:rFonts w:cs="Arial"/>
                <w:color w:val="000000" w:themeColor="text1"/>
                <w:sz w:val="18"/>
              </w:rPr>
            </w:pPr>
          </w:p>
        </w:tc>
        <w:tc>
          <w:tcPr>
            <w:tcW w:w="1321" w:type="dxa"/>
            <w:gridSpan w:val="2"/>
            <w:tcBorders>
              <w:top w:val="single" w:sz="4" w:space="0" w:color="auto"/>
              <w:right w:val="single" w:sz="6" w:space="0" w:color="auto"/>
            </w:tcBorders>
          </w:tcPr>
          <w:p w14:paraId="60D111DC" w14:textId="77777777" w:rsidR="003011DE" w:rsidRPr="00275F61" w:rsidRDefault="003011DE" w:rsidP="00401E68">
            <w:pPr>
              <w:jc w:val="center"/>
              <w:rPr>
                <w:rFonts w:cs="Arial"/>
                <w:color w:val="000000" w:themeColor="text1"/>
                <w:sz w:val="18"/>
              </w:rPr>
            </w:pPr>
          </w:p>
        </w:tc>
        <w:tc>
          <w:tcPr>
            <w:tcW w:w="6524" w:type="dxa"/>
            <w:gridSpan w:val="4"/>
            <w:tcBorders>
              <w:top w:val="single" w:sz="4" w:space="0" w:color="auto"/>
            </w:tcBorders>
            <w:vAlign w:val="center"/>
          </w:tcPr>
          <w:p w14:paraId="4FA70A26" w14:textId="77777777" w:rsidR="003011DE" w:rsidRPr="00275F61" w:rsidRDefault="003011DE" w:rsidP="00401E68">
            <w:pPr>
              <w:rPr>
                <w:rFonts w:cs="Arial"/>
                <w:color w:val="000000" w:themeColor="text1"/>
                <w:sz w:val="18"/>
                <w:szCs w:val="18"/>
              </w:rPr>
            </w:pPr>
          </w:p>
        </w:tc>
      </w:tr>
      <w:tr w:rsidR="00275F61" w:rsidRPr="00275F61" w14:paraId="75C450A2" w14:textId="77777777" w:rsidTr="00F37EA5">
        <w:tblPrEx>
          <w:tblCellMar>
            <w:left w:w="57" w:type="dxa"/>
            <w:right w:w="57" w:type="dxa"/>
          </w:tblCellMar>
        </w:tblPrEx>
        <w:trPr>
          <w:gridAfter w:val="1"/>
          <w:wAfter w:w="57" w:type="dxa"/>
          <w:cantSplit/>
        </w:trPr>
        <w:tc>
          <w:tcPr>
            <w:tcW w:w="1007" w:type="dxa"/>
          </w:tcPr>
          <w:p w14:paraId="06546A5D"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6F812C3A"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498AA0FC" w14:textId="77777777" w:rsidR="003011DE" w:rsidRPr="00275F61" w:rsidRDefault="003011DE" w:rsidP="00401E68">
            <w:pPr>
              <w:jc w:val="center"/>
              <w:rPr>
                <w:rFonts w:cs="Arial"/>
                <w:color w:val="000000" w:themeColor="text1"/>
                <w:sz w:val="18"/>
              </w:rPr>
            </w:pPr>
          </w:p>
        </w:tc>
        <w:tc>
          <w:tcPr>
            <w:tcW w:w="6524" w:type="dxa"/>
            <w:gridSpan w:val="4"/>
            <w:vAlign w:val="center"/>
          </w:tcPr>
          <w:p w14:paraId="664EBD62" w14:textId="77777777" w:rsidR="003011DE" w:rsidRPr="00275F61" w:rsidRDefault="003011DE" w:rsidP="00401E68">
            <w:pPr>
              <w:rPr>
                <w:rFonts w:cs="Arial"/>
                <w:color w:val="000000" w:themeColor="text1"/>
                <w:sz w:val="18"/>
                <w:szCs w:val="18"/>
              </w:rPr>
            </w:pPr>
          </w:p>
        </w:tc>
      </w:tr>
      <w:tr w:rsidR="00275F61" w:rsidRPr="00275F61" w14:paraId="6F1F4730" w14:textId="77777777" w:rsidTr="00F37EA5">
        <w:tblPrEx>
          <w:tblCellMar>
            <w:left w:w="57" w:type="dxa"/>
            <w:right w:w="57" w:type="dxa"/>
          </w:tblCellMar>
        </w:tblPrEx>
        <w:trPr>
          <w:gridAfter w:val="1"/>
          <w:wAfter w:w="57" w:type="dxa"/>
          <w:cantSplit/>
        </w:trPr>
        <w:tc>
          <w:tcPr>
            <w:tcW w:w="1007" w:type="dxa"/>
          </w:tcPr>
          <w:p w14:paraId="0756569C"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1645469D"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7AB2A164" w14:textId="77777777" w:rsidR="003011DE" w:rsidRPr="00275F61" w:rsidRDefault="003011DE" w:rsidP="00401E68">
            <w:pPr>
              <w:jc w:val="center"/>
              <w:rPr>
                <w:rFonts w:cs="Arial"/>
                <w:color w:val="000000" w:themeColor="text1"/>
                <w:sz w:val="18"/>
              </w:rPr>
            </w:pPr>
          </w:p>
        </w:tc>
        <w:tc>
          <w:tcPr>
            <w:tcW w:w="6524" w:type="dxa"/>
            <w:gridSpan w:val="4"/>
            <w:vAlign w:val="center"/>
          </w:tcPr>
          <w:p w14:paraId="31E6678D" w14:textId="77777777" w:rsidR="003011DE" w:rsidRPr="00275F61" w:rsidRDefault="003011DE" w:rsidP="00401E68">
            <w:pPr>
              <w:rPr>
                <w:rFonts w:cs="Arial"/>
                <w:color w:val="000000" w:themeColor="text1"/>
                <w:sz w:val="18"/>
                <w:szCs w:val="18"/>
              </w:rPr>
            </w:pPr>
          </w:p>
        </w:tc>
      </w:tr>
      <w:tr w:rsidR="00275F61" w:rsidRPr="00275F61" w14:paraId="3D4624C5" w14:textId="77777777" w:rsidTr="00F37EA5">
        <w:tblPrEx>
          <w:tblCellMar>
            <w:left w:w="57" w:type="dxa"/>
            <w:right w:w="57" w:type="dxa"/>
          </w:tblCellMar>
        </w:tblPrEx>
        <w:trPr>
          <w:gridAfter w:val="1"/>
          <w:wAfter w:w="57" w:type="dxa"/>
          <w:cantSplit/>
        </w:trPr>
        <w:tc>
          <w:tcPr>
            <w:tcW w:w="1007" w:type="dxa"/>
          </w:tcPr>
          <w:p w14:paraId="1DFAFAC5"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407314A2"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19EB661E" w14:textId="77777777" w:rsidR="003011DE" w:rsidRPr="00275F61" w:rsidRDefault="003011DE" w:rsidP="00401E68">
            <w:pPr>
              <w:jc w:val="center"/>
              <w:rPr>
                <w:rFonts w:cs="Arial"/>
                <w:color w:val="000000" w:themeColor="text1"/>
                <w:sz w:val="18"/>
              </w:rPr>
            </w:pPr>
          </w:p>
        </w:tc>
        <w:tc>
          <w:tcPr>
            <w:tcW w:w="6524" w:type="dxa"/>
            <w:gridSpan w:val="4"/>
            <w:vAlign w:val="center"/>
          </w:tcPr>
          <w:p w14:paraId="76B94983" w14:textId="77777777" w:rsidR="003011DE" w:rsidRPr="00275F61" w:rsidRDefault="003011DE" w:rsidP="00401E68">
            <w:pPr>
              <w:rPr>
                <w:rFonts w:cs="Arial"/>
                <w:color w:val="000000" w:themeColor="text1"/>
                <w:sz w:val="18"/>
                <w:szCs w:val="18"/>
              </w:rPr>
            </w:pPr>
          </w:p>
        </w:tc>
      </w:tr>
      <w:tr w:rsidR="00275F61" w:rsidRPr="00275F61" w14:paraId="61FBE476" w14:textId="77777777" w:rsidTr="00F37EA5">
        <w:tblPrEx>
          <w:tblCellMar>
            <w:left w:w="57" w:type="dxa"/>
            <w:right w:w="57" w:type="dxa"/>
          </w:tblCellMar>
        </w:tblPrEx>
        <w:trPr>
          <w:gridAfter w:val="1"/>
          <w:wAfter w:w="57" w:type="dxa"/>
          <w:cantSplit/>
        </w:trPr>
        <w:tc>
          <w:tcPr>
            <w:tcW w:w="1007" w:type="dxa"/>
          </w:tcPr>
          <w:p w14:paraId="46FD6EE9" w14:textId="77777777" w:rsidR="000F0EDC" w:rsidRPr="00275F61" w:rsidRDefault="000F0EDC" w:rsidP="00401E68">
            <w:pPr>
              <w:jc w:val="center"/>
              <w:rPr>
                <w:rFonts w:cs="Arial"/>
                <w:color w:val="000000" w:themeColor="text1"/>
                <w:sz w:val="18"/>
              </w:rPr>
            </w:pPr>
          </w:p>
        </w:tc>
        <w:tc>
          <w:tcPr>
            <w:tcW w:w="850" w:type="dxa"/>
            <w:tcBorders>
              <w:left w:val="single" w:sz="6" w:space="0" w:color="auto"/>
              <w:right w:val="single" w:sz="6" w:space="0" w:color="auto"/>
            </w:tcBorders>
          </w:tcPr>
          <w:p w14:paraId="0394B637" w14:textId="77777777" w:rsidR="000F0EDC" w:rsidRPr="00275F61" w:rsidRDefault="000F0EDC" w:rsidP="00401E68">
            <w:pPr>
              <w:jc w:val="center"/>
              <w:rPr>
                <w:rFonts w:cs="Arial"/>
                <w:color w:val="000000" w:themeColor="text1"/>
                <w:sz w:val="18"/>
              </w:rPr>
            </w:pPr>
          </w:p>
        </w:tc>
        <w:tc>
          <w:tcPr>
            <w:tcW w:w="1321" w:type="dxa"/>
            <w:gridSpan w:val="2"/>
            <w:tcBorders>
              <w:right w:val="single" w:sz="6" w:space="0" w:color="auto"/>
            </w:tcBorders>
          </w:tcPr>
          <w:p w14:paraId="7B1F2016" w14:textId="77777777" w:rsidR="000F0EDC" w:rsidRPr="00275F61" w:rsidRDefault="000F0EDC" w:rsidP="00401E68">
            <w:pPr>
              <w:jc w:val="center"/>
              <w:rPr>
                <w:rFonts w:cs="Arial"/>
                <w:color w:val="000000" w:themeColor="text1"/>
                <w:sz w:val="18"/>
              </w:rPr>
            </w:pPr>
          </w:p>
        </w:tc>
        <w:tc>
          <w:tcPr>
            <w:tcW w:w="6524" w:type="dxa"/>
            <w:gridSpan w:val="4"/>
            <w:vAlign w:val="center"/>
          </w:tcPr>
          <w:p w14:paraId="741EF076" w14:textId="77777777" w:rsidR="000F0EDC" w:rsidRPr="00275F61" w:rsidRDefault="000F0EDC" w:rsidP="00401E68">
            <w:pPr>
              <w:rPr>
                <w:rFonts w:cs="Arial"/>
                <w:color w:val="000000" w:themeColor="text1"/>
                <w:sz w:val="18"/>
                <w:szCs w:val="18"/>
              </w:rPr>
            </w:pPr>
          </w:p>
        </w:tc>
      </w:tr>
      <w:tr w:rsidR="00275F61" w:rsidRPr="00275F61" w14:paraId="1EFA594E" w14:textId="77777777" w:rsidTr="00F37EA5">
        <w:tblPrEx>
          <w:tblCellMar>
            <w:left w:w="57" w:type="dxa"/>
            <w:right w:w="57" w:type="dxa"/>
          </w:tblCellMar>
        </w:tblPrEx>
        <w:trPr>
          <w:gridAfter w:val="1"/>
          <w:wAfter w:w="57" w:type="dxa"/>
          <w:cantSplit/>
        </w:trPr>
        <w:tc>
          <w:tcPr>
            <w:tcW w:w="1007" w:type="dxa"/>
          </w:tcPr>
          <w:p w14:paraId="17787DFA" w14:textId="77777777" w:rsidR="000F0EDC" w:rsidRPr="00275F61" w:rsidRDefault="000F0EDC" w:rsidP="00401E68">
            <w:pPr>
              <w:jc w:val="center"/>
              <w:rPr>
                <w:rFonts w:cs="Arial"/>
                <w:color w:val="000000" w:themeColor="text1"/>
                <w:sz w:val="18"/>
              </w:rPr>
            </w:pPr>
          </w:p>
        </w:tc>
        <w:tc>
          <w:tcPr>
            <w:tcW w:w="850" w:type="dxa"/>
            <w:tcBorders>
              <w:left w:val="single" w:sz="6" w:space="0" w:color="auto"/>
              <w:right w:val="single" w:sz="6" w:space="0" w:color="auto"/>
            </w:tcBorders>
          </w:tcPr>
          <w:p w14:paraId="0485A402" w14:textId="77777777" w:rsidR="000F0EDC" w:rsidRPr="00275F61" w:rsidRDefault="000F0EDC" w:rsidP="00401E68">
            <w:pPr>
              <w:jc w:val="center"/>
              <w:rPr>
                <w:rFonts w:cs="Arial"/>
                <w:color w:val="000000" w:themeColor="text1"/>
                <w:sz w:val="18"/>
              </w:rPr>
            </w:pPr>
          </w:p>
        </w:tc>
        <w:tc>
          <w:tcPr>
            <w:tcW w:w="1321" w:type="dxa"/>
            <w:gridSpan w:val="2"/>
            <w:tcBorders>
              <w:right w:val="single" w:sz="6" w:space="0" w:color="auto"/>
            </w:tcBorders>
          </w:tcPr>
          <w:p w14:paraId="15F19F72" w14:textId="77777777" w:rsidR="000F0EDC" w:rsidRPr="00275F61" w:rsidRDefault="000F0EDC" w:rsidP="00401E68">
            <w:pPr>
              <w:jc w:val="center"/>
              <w:rPr>
                <w:rFonts w:cs="Arial"/>
                <w:color w:val="000000" w:themeColor="text1"/>
                <w:sz w:val="18"/>
              </w:rPr>
            </w:pPr>
          </w:p>
        </w:tc>
        <w:tc>
          <w:tcPr>
            <w:tcW w:w="6524" w:type="dxa"/>
            <w:gridSpan w:val="4"/>
            <w:vAlign w:val="center"/>
          </w:tcPr>
          <w:p w14:paraId="717E8D29" w14:textId="77777777" w:rsidR="000F0EDC" w:rsidRPr="00275F61" w:rsidRDefault="000F0EDC" w:rsidP="00401E68">
            <w:pPr>
              <w:rPr>
                <w:rFonts w:cs="Arial"/>
                <w:color w:val="000000" w:themeColor="text1"/>
                <w:sz w:val="18"/>
                <w:szCs w:val="18"/>
              </w:rPr>
            </w:pPr>
          </w:p>
        </w:tc>
      </w:tr>
      <w:tr w:rsidR="00275F61" w:rsidRPr="00275F61" w14:paraId="234D8B82" w14:textId="77777777" w:rsidTr="00F37EA5">
        <w:tblPrEx>
          <w:tblCellMar>
            <w:left w:w="57" w:type="dxa"/>
            <w:right w:w="57" w:type="dxa"/>
          </w:tblCellMar>
        </w:tblPrEx>
        <w:trPr>
          <w:gridAfter w:val="1"/>
          <w:wAfter w:w="57" w:type="dxa"/>
          <w:cantSplit/>
        </w:trPr>
        <w:tc>
          <w:tcPr>
            <w:tcW w:w="1007" w:type="dxa"/>
          </w:tcPr>
          <w:p w14:paraId="0540BF1C"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1FF04A60"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6061F700" w14:textId="77777777" w:rsidR="003011DE" w:rsidRPr="00275F61" w:rsidRDefault="003011DE" w:rsidP="00401E68">
            <w:pPr>
              <w:jc w:val="center"/>
              <w:rPr>
                <w:rFonts w:cs="Arial"/>
                <w:color w:val="000000" w:themeColor="text1"/>
                <w:sz w:val="18"/>
              </w:rPr>
            </w:pPr>
          </w:p>
        </w:tc>
        <w:tc>
          <w:tcPr>
            <w:tcW w:w="6524" w:type="dxa"/>
            <w:gridSpan w:val="4"/>
            <w:vAlign w:val="center"/>
          </w:tcPr>
          <w:p w14:paraId="294DA8B2" w14:textId="77777777" w:rsidR="003011DE" w:rsidRPr="00275F61" w:rsidRDefault="003011DE" w:rsidP="00401E68">
            <w:pPr>
              <w:rPr>
                <w:rFonts w:cs="Arial"/>
                <w:color w:val="000000" w:themeColor="text1"/>
                <w:sz w:val="18"/>
                <w:szCs w:val="18"/>
              </w:rPr>
            </w:pPr>
          </w:p>
        </w:tc>
      </w:tr>
      <w:tr w:rsidR="00275F61" w:rsidRPr="00275F61" w14:paraId="3BCC73EF" w14:textId="77777777" w:rsidTr="00F37EA5">
        <w:tblPrEx>
          <w:tblCellMar>
            <w:left w:w="57" w:type="dxa"/>
            <w:right w:w="57" w:type="dxa"/>
          </w:tblCellMar>
        </w:tblPrEx>
        <w:trPr>
          <w:gridAfter w:val="1"/>
          <w:wAfter w:w="57" w:type="dxa"/>
          <w:cantSplit/>
        </w:trPr>
        <w:tc>
          <w:tcPr>
            <w:tcW w:w="1007" w:type="dxa"/>
          </w:tcPr>
          <w:p w14:paraId="70EDC1B5"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6C2D2188"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1A6C4416" w14:textId="77777777" w:rsidR="003011DE" w:rsidRPr="00275F61" w:rsidRDefault="003011DE" w:rsidP="00401E68">
            <w:pPr>
              <w:jc w:val="center"/>
              <w:rPr>
                <w:rFonts w:cs="Arial"/>
                <w:color w:val="000000" w:themeColor="text1"/>
                <w:sz w:val="18"/>
              </w:rPr>
            </w:pPr>
          </w:p>
        </w:tc>
        <w:tc>
          <w:tcPr>
            <w:tcW w:w="6524" w:type="dxa"/>
            <w:gridSpan w:val="4"/>
            <w:vAlign w:val="center"/>
          </w:tcPr>
          <w:p w14:paraId="467CC633" w14:textId="77777777" w:rsidR="003011DE" w:rsidRPr="00275F61" w:rsidRDefault="003011DE" w:rsidP="00401E68">
            <w:pPr>
              <w:rPr>
                <w:rFonts w:cs="Arial"/>
                <w:color w:val="000000" w:themeColor="text1"/>
                <w:sz w:val="18"/>
                <w:szCs w:val="18"/>
              </w:rPr>
            </w:pPr>
          </w:p>
        </w:tc>
      </w:tr>
      <w:tr w:rsidR="00275F61" w:rsidRPr="00275F61" w14:paraId="6F6DB593" w14:textId="77777777" w:rsidTr="00F37EA5">
        <w:tblPrEx>
          <w:tblCellMar>
            <w:left w:w="57" w:type="dxa"/>
            <w:right w:w="57" w:type="dxa"/>
          </w:tblCellMar>
        </w:tblPrEx>
        <w:trPr>
          <w:gridAfter w:val="1"/>
          <w:wAfter w:w="57" w:type="dxa"/>
          <w:cantSplit/>
        </w:trPr>
        <w:tc>
          <w:tcPr>
            <w:tcW w:w="1007" w:type="dxa"/>
          </w:tcPr>
          <w:p w14:paraId="2D8876C3"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6740CFA2"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3C6A6DEB" w14:textId="77777777" w:rsidR="003011DE" w:rsidRPr="00275F61" w:rsidRDefault="003011DE" w:rsidP="00401E68">
            <w:pPr>
              <w:jc w:val="center"/>
              <w:rPr>
                <w:rFonts w:cs="Arial"/>
                <w:color w:val="000000" w:themeColor="text1"/>
                <w:sz w:val="18"/>
              </w:rPr>
            </w:pPr>
          </w:p>
        </w:tc>
        <w:tc>
          <w:tcPr>
            <w:tcW w:w="6524" w:type="dxa"/>
            <w:gridSpan w:val="4"/>
            <w:vAlign w:val="center"/>
          </w:tcPr>
          <w:p w14:paraId="5A0791B5" w14:textId="77777777" w:rsidR="003011DE" w:rsidRPr="00275F61" w:rsidRDefault="003011DE" w:rsidP="00401E68">
            <w:pPr>
              <w:rPr>
                <w:rFonts w:cs="Arial"/>
                <w:color w:val="000000" w:themeColor="text1"/>
                <w:sz w:val="18"/>
                <w:szCs w:val="18"/>
              </w:rPr>
            </w:pPr>
          </w:p>
        </w:tc>
        <w:bookmarkStart w:id="2" w:name="_GoBack"/>
        <w:bookmarkEnd w:id="2"/>
      </w:tr>
      <w:tr w:rsidR="00275F61" w:rsidRPr="00275F61" w14:paraId="7603B56A" w14:textId="77777777" w:rsidTr="00F37EA5">
        <w:tblPrEx>
          <w:tblCellMar>
            <w:left w:w="57" w:type="dxa"/>
            <w:right w:w="57" w:type="dxa"/>
          </w:tblCellMar>
        </w:tblPrEx>
        <w:trPr>
          <w:gridAfter w:val="1"/>
          <w:wAfter w:w="57" w:type="dxa"/>
          <w:cantSplit/>
        </w:trPr>
        <w:tc>
          <w:tcPr>
            <w:tcW w:w="1007" w:type="dxa"/>
          </w:tcPr>
          <w:p w14:paraId="5EDBCD06"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31554C80"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3064A4DD" w14:textId="77777777" w:rsidR="003011DE" w:rsidRPr="00275F61" w:rsidRDefault="003011DE" w:rsidP="00401E68">
            <w:pPr>
              <w:jc w:val="center"/>
              <w:rPr>
                <w:rFonts w:cs="Arial"/>
                <w:color w:val="000000" w:themeColor="text1"/>
                <w:sz w:val="18"/>
              </w:rPr>
            </w:pPr>
          </w:p>
        </w:tc>
        <w:tc>
          <w:tcPr>
            <w:tcW w:w="6524" w:type="dxa"/>
            <w:gridSpan w:val="4"/>
            <w:vAlign w:val="center"/>
          </w:tcPr>
          <w:p w14:paraId="20158E60" w14:textId="77777777" w:rsidR="003011DE" w:rsidRPr="00275F61" w:rsidRDefault="003011DE" w:rsidP="00401E68">
            <w:pPr>
              <w:rPr>
                <w:rFonts w:cs="Arial"/>
                <w:color w:val="000000" w:themeColor="text1"/>
                <w:sz w:val="18"/>
                <w:szCs w:val="18"/>
              </w:rPr>
            </w:pPr>
          </w:p>
        </w:tc>
      </w:tr>
      <w:tr w:rsidR="00275F61" w:rsidRPr="00275F61" w14:paraId="0C228C36" w14:textId="77777777" w:rsidTr="00F37EA5">
        <w:tblPrEx>
          <w:tblCellMar>
            <w:left w:w="57" w:type="dxa"/>
            <w:right w:w="57" w:type="dxa"/>
          </w:tblCellMar>
        </w:tblPrEx>
        <w:trPr>
          <w:gridAfter w:val="1"/>
          <w:wAfter w:w="57" w:type="dxa"/>
          <w:cantSplit/>
        </w:trPr>
        <w:tc>
          <w:tcPr>
            <w:tcW w:w="1007" w:type="dxa"/>
          </w:tcPr>
          <w:p w14:paraId="07539AB9"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2D635E62"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5828B1C3" w14:textId="77777777" w:rsidR="003011DE" w:rsidRPr="00275F61" w:rsidRDefault="003011DE" w:rsidP="00401E68">
            <w:pPr>
              <w:jc w:val="center"/>
              <w:rPr>
                <w:rFonts w:cs="Arial"/>
                <w:color w:val="000000" w:themeColor="text1"/>
                <w:sz w:val="18"/>
              </w:rPr>
            </w:pPr>
          </w:p>
        </w:tc>
        <w:tc>
          <w:tcPr>
            <w:tcW w:w="6524" w:type="dxa"/>
            <w:gridSpan w:val="4"/>
            <w:vAlign w:val="center"/>
          </w:tcPr>
          <w:p w14:paraId="2C386FB7" w14:textId="77777777" w:rsidR="003011DE" w:rsidRPr="00275F61" w:rsidRDefault="003011DE" w:rsidP="00401E68">
            <w:pPr>
              <w:rPr>
                <w:rFonts w:cs="Arial"/>
                <w:color w:val="000000" w:themeColor="text1"/>
                <w:sz w:val="18"/>
                <w:szCs w:val="18"/>
              </w:rPr>
            </w:pPr>
          </w:p>
        </w:tc>
      </w:tr>
      <w:tr w:rsidR="00275F61" w:rsidRPr="00275F61" w14:paraId="0BD0614C" w14:textId="77777777" w:rsidTr="00F37EA5">
        <w:tblPrEx>
          <w:tblCellMar>
            <w:left w:w="57" w:type="dxa"/>
            <w:right w:w="57" w:type="dxa"/>
          </w:tblCellMar>
        </w:tblPrEx>
        <w:trPr>
          <w:gridAfter w:val="1"/>
          <w:wAfter w:w="57" w:type="dxa"/>
          <w:cantSplit/>
        </w:trPr>
        <w:tc>
          <w:tcPr>
            <w:tcW w:w="1007" w:type="dxa"/>
          </w:tcPr>
          <w:p w14:paraId="2469A718"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043C1565"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100D76B9" w14:textId="77777777" w:rsidR="003011DE" w:rsidRPr="00275F61" w:rsidRDefault="003011DE" w:rsidP="00401E68">
            <w:pPr>
              <w:jc w:val="center"/>
              <w:rPr>
                <w:rFonts w:cs="Arial"/>
                <w:color w:val="000000" w:themeColor="text1"/>
                <w:sz w:val="18"/>
              </w:rPr>
            </w:pPr>
          </w:p>
        </w:tc>
        <w:tc>
          <w:tcPr>
            <w:tcW w:w="6524" w:type="dxa"/>
            <w:gridSpan w:val="4"/>
            <w:vAlign w:val="center"/>
          </w:tcPr>
          <w:p w14:paraId="6F903F11" w14:textId="77777777" w:rsidR="003011DE" w:rsidRPr="00275F61" w:rsidRDefault="003011DE" w:rsidP="00401E68">
            <w:pPr>
              <w:rPr>
                <w:rFonts w:cs="Arial"/>
                <w:color w:val="000000" w:themeColor="text1"/>
                <w:sz w:val="18"/>
                <w:szCs w:val="18"/>
              </w:rPr>
            </w:pPr>
          </w:p>
        </w:tc>
      </w:tr>
      <w:tr w:rsidR="00275F61" w:rsidRPr="00275F61" w14:paraId="0F940E3B" w14:textId="77777777" w:rsidTr="00F37EA5">
        <w:tblPrEx>
          <w:tblCellMar>
            <w:left w:w="57" w:type="dxa"/>
            <w:right w:w="57" w:type="dxa"/>
          </w:tblCellMar>
        </w:tblPrEx>
        <w:trPr>
          <w:gridAfter w:val="1"/>
          <w:wAfter w:w="57" w:type="dxa"/>
          <w:cantSplit/>
        </w:trPr>
        <w:tc>
          <w:tcPr>
            <w:tcW w:w="1007" w:type="dxa"/>
          </w:tcPr>
          <w:p w14:paraId="5431464C"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0162B977"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4371B444" w14:textId="77777777" w:rsidR="003011DE" w:rsidRPr="00275F61" w:rsidRDefault="003011DE" w:rsidP="00401E68">
            <w:pPr>
              <w:jc w:val="center"/>
              <w:rPr>
                <w:rFonts w:cs="Arial"/>
                <w:color w:val="000000" w:themeColor="text1"/>
                <w:sz w:val="18"/>
              </w:rPr>
            </w:pPr>
          </w:p>
        </w:tc>
        <w:tc>
          <w:tcPr>
            <w:tcW w:w="6524" w:type="dxa"/>
            <w:gridSpan w:val="4"/>
            <w:vAlign w:val="center"/>
          </w:tcPr>
          <w:p w14:paraId="7C1D6AB8" w14:textId="77777777" w:rsidR="003011DE" w:rsidRPr="00275F61" w:rsidRDefault="003011DE" w:rsidP="00401E68">
            <w:pPr>
              <w:rPr>
                <w:rFonts w:cs="Arial"/>
                <w:color w:val="000000" w:themeColor="text1"/>
                <w:sz w:val="18"/>
                <w:szCs w:val="18"/>
              </w:rPr>
            </w:pPr>
          </w:p>
        </w:tc>
      </w:tr>
      <w:tr w:rsidR="00275F61" w:rsidRPr="00275F61" w14:paraId="26B678A1" w14:textId="77777777" w:rsidTr="00F37EA5">
        <w:tblPrEx>
          <w:tblCellMar>
            <w:left w:w="57" w:type="dxa"/>
            <w:right w:w="57" w:type="dxa"/>
          </w:tblCellMar>
        </w:tblPrEx>
        <w:trPr>
          <w:gridAfter w:val="1"/>
          <w:wAfter w:w="57" w:type="dxa"/>
          <w:cantSplit/>
        </w:trPr>
        <w:tc>
          <w:tcPr>
            <w:tcW w:w="1007" w:type="dxa"/>
          </w:tcPr>
          <w:p w14:paraId="3DF2AACD"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218F4B3F"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11468263" w14:textId="77777777" w:rsidR="003011DE" w:rsidRPr="00275F61" w:rsidRDefault="003011DE" w:rsidP="00401E68">
            <w:pPr>
              <w:jc w:val="center"/>
              <w:rPr>
                <w:rFonts w:cs="Arial"/>
                <w:color w:val="000000" w:themeColor="text1"/>
                <w:sz w:val="18"/>
              </w:rPr>
            </w:pPr>
          </w:p>
        </w:tc>
        <w:tc>
          <w:tcPr>
            <w:tcW w:w="6524" w:type="dxa"/>
            <w:gridSpan w:val="4"/>
            <w:vAlign w:val="center"/>
          </w:tcPr>
          <w:p w14:paraId="5904C2EA" w14:textId="77777777" w:rsidR="003011DE" w:rsidRPr="00275F61" w:rsidRDefault="003011DE" w:rsidP="00401E68">
            <w:pPr>
              <w:rPr>
                <w:rFonts w:cs="Arial"/>
                <w:color w:val="000000" w:themeColor="text1"/>
                <w:sz w:val="18"/>
                <w:szCs w:val="18"/>
              </w:rPr>
            </w:pPr>
          </w:p>
        </w:tc>
      </w:tr>
      <w:tr w:rsidR="00275F61" w:rsidRPr="00275F61" w14:paraId="7439AD32" w14:textId="77777777" w:rsidTr="00F37EA5">
        <w:tblPrEx>
          <w:tblCellMar>
            <w:left w:w="57" w:type="dxa"/>
            <w:right w:w="57" w:type="dxa"/>
          </w:tblCellMar>
        </w:tblPrEx>
        <w:trPr>
          <w:gridAfter w:val="1"/>
          <w:wAfter w:w="57" w:type="dxa"/>
          <w:cantSplit/>
        </w:trPr>
        <w:tc>
          <w:tcPr>
            <w:tcW w:w="1007" w:type="dxa"/>
          </w:tcPr>
          <w:p w14:paraId="413E885D"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17022364"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4814715E" w14:textId="77777777" w:rsidR="003011DE" w:rsidRPr="00275F61" w:rsidRDefault="003011DE" w:rsidP="00401E68">
            <w:pPr>
              <w:jc w:val="center"/>
              <w:rPr>
                <w:rFonts w:cs="Arial"/>
                <w:color w:val="000000" w:themeColor="text1"/>
                <w:sz w:val="18"/>
              </w:rPr>
            </w:pPr>
          </w:p>
        </w:tc>
        <w:tc>
          <w:tcPr>
            <w:tcW w:w="6524" w:type="dxa"/>
            <w:gridSpan w:val="4"/>
            <w:vAlign w:val="center"/>
          </w:tcPr>
          <w:p w14:paraId="534E0C46" w14:textId="77777777" w:rsidR="003011DE" w:rsidRPr="00275F61" w:rsidRDefault="003011DE" w:rsidP="00401E68">
            <w:pPr>
              <w:rPr>
                <w:rFonts w:cs="Arial"/>
                <w:color w:val="000000" w:themeColor="text1"/>
                <w:sz w:val="18"/>
                <w:szCs w:val="18"/>
              </w:rPr>
            </w:pPr>
          </w:p>
        </w:tc>
      </w:tr>
      <w:tr w:rsidR="00275F61" w:rsidRPr="00275F61" w14:paraId="4F44BCAA" w14:textId="77777777" w:rsidTr="00F37EA5">
        <w:tblPrEx>
          <w:tblCellMar>
            <w:left w:w="57" w:type="dxa"/>
            <w:right w:w="57" w:type="dxa"/>
          </w:tblCellMar>
        </w:tblPrEx>
        <w:trPr>
          <w:gridAfter w:val="1"/>
          <w:wAfter w:w="57" w:type="dxa"/>
          <w:cantSplit/>
        </w:trPr>
        <w:tc>
          <w:tcPr>
            <w:tcW w:w="1007" w:type="dxa"/>
          </w:tcPr>
          <w:p w14:paraId="63B65A36"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65AFBDFB"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22182366" w14:textId="77777777" w:rsidR="003011DE" w:rsidRPr="00275F61" w:rsidRDefault="003011DE" w:rsidP="00401E68">
            <w:pPr>
              <w:jc w:val="center"/>
              <w:rPr>
                <w:rFonts w:cs="Arial"/>
                <w:color w:val="000000" w:themeColor="text1"/>
                <w:sz w:val="18"/>
              </w:rPr>
            </w:pPr>
          </w:p>
        </w:tc>
        <w:tc>
          <w:tcPr>
            <w:tcW w:w="6524" w:type="dxa"/>
            <w:gridSpan w:val="4"/>
            <w:vAlign w:val="center"/>
          </w:tcPr>
          <w:p w14:paraId="1312B209" w14:textId="77777777" w:rsidR="003011DE" w:rsidRPr="00275F61" w:rsidRDefault="003011DE" w:rsidP="00401E68">
            <w:pPr>
              <w:rPr>
                <w:rFonts w:cs="Arial"/>
                <w:color w:val="000000" w:themeColor="text1"/>
                <w:sz w:val="18"/>
                <w:szCs w:val="18"/>
              </w:rPr>
            </w:pPr>
          </w:p>
        </w:tc>
      </w:tr>
      <w:tr w:rsidR="00275F61" w:rsidRPr="00275F61" w14:paraId="428E0D70" w14:textId="77777777" w:rsidTr="00F37EA5">
        <w:tblPrEx>
          <w:tblCellMar>
            <w:left w:w="57" w:type="dxa"/>
            <w:right w:w="57" w:type="dxa"/>
          </w:tblCellMar>
        </w:tblPrEx>
        <w:trPr>
          <w:gridAfter w:val="1"/>
          <w:wAfter w:w="57" w:type="dxa"/>
          <w:cantSplit/>
        </w:trPr>
        <w:tc>
          <w:tcPr>
            <w:tcW w:w="1007" w:type="dxa"/>
          </w:tcPr>
          <w:p w14:paraId="1B06A4D8"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68EEB933"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2943C55A" w14:textId="77777777" w:rsidR="003011DE" w:rsidRPr="00275F61" w:rsidRDefault="003011DE" w:rsidP="00401E68">
            <w:pPr>
              <w:jc w:val="center"/>
              <w:rPr>
                <w:rFonts w:cs="Arial"/>
                <w:color w:val="000000" w:themeColor="text1"/>
                <w:sz w:val="18"/>
              </w:rPr>
            </w:pPr>
          </w:p>
        </w:tc>
        <w:tc>
          <w:tcPr>
            <w:tcW w:w="6524" w:type="dxa"/>
            <w:gridSpan w:val="4"/>
            <w:vAlign w:val="center"/>
          </w:tcPr>
          <w:p w14:paraId="27F6CFC9" w14:textId="77777777" w:rsidR="003011DE" w:rsidRPr="00275F61" w:rsidRDefault="003011DE" w:rsidP="00401E68">
            <w:pPr>
              <w:rPr>
                <w:rFonts w:cs="Arial"/>
                <w:color w:val="000000" w:themeColor="text1"/>
                <w:sz w:val="18"/>
                <w:szCs w:val="18"/>
              </w:rPr>
            </w:pPr>
          </w:p>
        </w:tc>
      </w:tr>
      <w:tr w:rsidR="00275F61" w:rsidRPr="00275F61" w14:paraId="3C8A03BD" w14:textId="77777777" w:rsidTr="00F37EA5">
        <w:tblPrEx>
          <w:tblCellMar>
            <w:left w:w="57" w:type="dxa"/>
            <w:right w:w="57" w:type="dxa"/>
          </w:tblCellMar>
        </w:tblPrEx>
        <w:trPr>
          <w:gridAfter w:val="1"/>
          <w:wAfter w:w="57" w:type="dxa"/>
          <w:cantSplit/>
        </w:trPr>
        <w:tc>
          <w:tcPr>
            <w:tcW w:w="1007" w:type="dxa"/>
          </w:tcPr>
          <w:p w14:paraId="5EA65D19"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2F4E7900"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7084C492" w14:textId="77777777" w:rsidR="003011DE" w:rsidRPr="00275F61" w:rsidRDefault="003011DE" w:rsidP="00401E68">
            <w:pPr>
              <w:jc w:val="center"/>
              <w:rPr>
                <w:rFonts w:cs="Arial"/>
                <w:color w:val="000000" w:themeColor="text1"/>
                <w:sz w:val="18"/>
              </w:rPr>
            </w:pPr>
          </w:p>
        </w:tc>
        <w:tc>
          <w:tcPr>
            <w:tcW w:w="6524" w:type="dxa"/>
            <w:gridSpan w:val="4"/>
            <w:vAlign w:val="center"/>
          </w:tcPr>
          <w:p w14:paraId="3076117F" w14:textId="77777777" w:rsidR="003011DE" w:rsidRPr="00275F61" w:rsidRDefault="003011DE" w:rsidP="00401E68">
            <w:pPr>
              <w:rPr>
                <w:rFonts w:cs="Arial"/>
                <w:color w:val="000000" w:themeColor="text1"/>
                <w:sz w:val="18"/>
                <w:szCs w:val="18"/>
              </w:rPr>
            </w:pPr>
          </w:p>
        </w:tc>
      </w:tr>
      <w:tr w:rsidR="00275F61" w:rsidRPr="00275F61" w14:paraId="082C367D" w14:textId="77777777" w:rsidTr="00F37EA5">
        <w:tblPrEx>
          <w:tblCellMar>
            <w:left w:w="57" w:type="dxa"/>
            <w:right w:w="57" w:type="dxa"/>
          </w:tblCellMar>
        </w:tblPrEx>
        <w:trPr>
          <w:gridAfter w:val="1"/>
          <w:wAfter w:w="57" w:type="dxa"/>
          <w:cantSplit/>
        </w:trPr>
        <w:tc>
          <w:tcPr>
            <w:tcW w:w="1007" w:type="dxa"/>
          </w:tcPr>
          <w:p w14:paraId="15BE31E5"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3C8CD590"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01E9D812" w14:textId="77777777" w:rsidR="003011DE" w:rsidRPr="00275F61" w:rsidRDefault="003011DE" w:rsidP="00401E68">
            <w:pPr>
              <w:jc w:val="center"/>
              <w:rPr>
                <w:rFonts w:cs="Arial"/>
                <w:color w:val="000000" w:themeColor="text1"/>
                <w:sz w:val="18"/>
              </w:rPr>
            </w:pPr>
          </w:p>
        </w:tc>
        <w:tc>
          <w:tcPr>
            <w:tcW w:w="6524" w:type="dxa"/>
            <w:gridSpan w:val="4"/>
            <w:vAlign w:val="center"/>
          </w:tcPr>
          <w:p w14:paraId="0312ED74" w14:textId="77777777" w:rsidR="003011DE" w:rsidRPr="00275F61" w:rsidRDefault="003011DE" w:rsidP="00401E68">
            <w:pPr>
              <w:rPr>
                <w:rFonts w:cs="Arial"/>
                <w:color w:val="000000" w:themeColor="text1"/>
                <w:sz w:val="18"/>
                <w:szCs w:val="18"/>
              </w:rPr>
            </w:pPr>
          </w:p>
        </w:tc>
      </w:tr>
      <w:tr w:rsidR="00275F61" w:rsidRPr="00275F61" w14:paraId="6EF2D9AF" w14:textId="77777777" w:rsidTr="00F37EA5">
        <w:tblPrEx>
          <w:tblCellMar>
            <w:left w:w="57" w:type="dxa"/>
            <w:right w:w="57" w:type="dxa"/>
          </w:tblCellMar>
        </w:tblPrEx>
        <w:trPr>
          <w:gridAfter w:val="1"/>
          <w:wAfter w:w="57" w:type="dxa"/>
          <w:cantSplit/>
        </w:trPr>
        <w:tc>
          <w:tcPr>
            <w:tcW w:w="1007" w:type="dxa"/>
          </w:tcPr>
          <w:p w14:paraId="23331E7E"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7B2585C1"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69893DC3" w14:textId="77777777" w:rsidR="003011DE" w:rsidRPr="00275F61" w:rsidRDefault="003011DE" w:rsidP="00401E68">
            <w:pPr>
              <w:jc w:val="center"/>
              <w:rPr>
                <w:rFonts w:cs="Arial"/>
                <w:color w:val="000000" w:themeColor="text1"/>
                <w:sz w:val="18"/>
              </w:rPr>
            </w:pPr>
          </w:p>
        </w:tc>
        <w:tc>
          <w:tcPr>
            <w:tcW w:w="6524" w:type="dxa"/>
            <w:gridSpan w:val="4"/>
            <w:vAlign w:val="center"/>
          </w:tcPr>
          <w:p w14:paraId="51135D65" w14:textId="77777777" w:rsidR="003011DE" w:rsidRPr="00275F61" w:rsidRDefault="003011DE" w:rsidP="00401E68">
            <w:pPr>
              <w:rPr>
                <w:rFonts w:cs="Arial"/>
                <w:color w:val="000000" w:themeColor="text1"/>
                <w:sz w:val="18"/>
                <w:szCs w:val="18"/>
              </w:rPr>
            </w:pPr>
          </w:p>
        </w:tc>
      </w:tr>
      <w:tr w:rsidR="00275F61" w:rsidRPr="00275F61" w14:paraId="2CA3BBD7" w14:textId="77777777" w:rsidTr="00F37EA5">
        <w:tblPrEx>
          <w:tblCellMar>
            <w:left w:w="57" w:type="dxa"/>
            <w:right w:w="57" w:type="dxa"/>
          </w:tblCellMar>
        </w:tblPrEx>
        <w:trPr>
          <w:gridAfter w:val="1"/>
          <w:wAfter w:w="57" w:type="dxa"/>
          <w:cantSplit/>
        </w:trPr>
        <w:tc>
          <w:tcPr>
            <w:tcW w:w="1007" w:type="dxa"/>
          </w:tcPr>
          <w:p w14:paraId="75960149"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16BC5152"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51887DBF" w14:textId="77777777" w:rsidR="003011DE" w:rsidRPr="00275F61" w:rsidRDefault="003011DE" w:rsidP="00401E68">
            <w:pPr>
              <w:jc w:val="center"/>
              <w:rPr>
                <w:rFonts w:cs="Arial"/>
                <w:color w:val="000000" w:themeColor="text1"/>
                <w:sz w:val="18"/>
              </w:rPr>
            </w:pPr>
          </w:p>
        </w:tc>
        <w:tc>
          <w:tcPr>
            <w:tcW w:w="6524" w:type="dxa"/>
            <w:gridSpan w:val="4"/>
            <w:vAlign w:val="center"/>
          </w:tcPr>
          <w:p w14:paraId="7C4CE2BF" w14:textId="77777777" w:rsidR="003011DE" w:rsidRPr="00275F61" w:rsidRDefault="003011DE" w:rsidP="00401E68">
            <w:pPr>
              <w:rPr>
                <w:rFonts w:cs="Arial"/>
                <w:color w:val="000000" w:themeColor="text1"/>
                <w:sz w:val="18"/>
                <w:szCs w:val="18"/>
              </w:rPr>
            </w:pPr>
          </w:p>
        </w:tc>
      </w:tr>
      <w:tr w:rsidR="00275F61" w:rsidRPr="00275F61" w14:paraId="6B785882" w14:textId="77777777" w:rsidTr="00F37EA5">
        <w:tblPrEx>
          <w:tblCellMar>
            <w:left w:w="57" w:type="dxa"/>
            <w:right w:w="57" w:type="dxa"/>
          </w:tblCellMar>
        </w:tblPrEx>
        <w:trPr>
          <w:gridAfter w:val="1"/>
          <w:wAfter w:w="57" w:type="dxa"/>
          <w:cantSplit/>
        </w:trPr>
        <w:tc>
          <w:tcPr>
            <w:tcW w:w="1007" w:type="dxa"/>
          </w:tcPr>
          <w:p w14:paraId="2069E3BA"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19520807"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7B0AA385" w14:textId="77777777" w:rsidR="003011DE" w:rsidRPr="00275F61" w:rsidRDefault="003011DE" w:rsidP="00401E68">
            <w:pPr>
              <w:jc w:val="center"/>
              <w:rPr>
                <w:rFonts w:cs="Arial"/>
                <w:color w:val="000000" w:themeColor="text1"/>
                <w:sz w:val="18"/>
              </w:rPr>
            </w:pPr>
          </w:p>
        </w:tc>
        <w:tc>
          <w:tcPr>
            <w:tcW w:w="6524" w:type="dxa"/>
            <w:gridSpan w:val="4"/>
            <w:vAlign w:val="center"/>
          </w:tcPr>
          <w:p w14:paraId="6230213F" w14:textId="77777777" w:rsidR="003011DE" w:rsidRPr="00275F61" w:rsidRDefault="003011DE" w:rsidP="00401E68">
            <w:pPr>
              <w:rPr>
                <w:rFonts w:cs="Arial"/>
                <w:color w:val="000000" w:themeColor="text1"/>
                <w:sz w:val="18"/>
                <w:szCs w:val="18"/>
              </w:rPr>
            </w:pPr>
          </w:p>
        </w:tc>
      </w:tr>
      <w:tr w:rsidR="00275F61" w:rsidRPr="00275F61" w14:paraId="0E5497F3" w14:textId="77777777" w:rsidTr="00F37EA5">
        <w:tblPrEx>
          <w:tblCellMar>
            <w:left w:w="57" w:type="dxa"/>
            <w:right w:w="57" w:type="dxa"/>
          </w:tblCellMar>
        </w:tblPrEx>
        <w:trPr>
          <w:gridAfter w:val="1"/>
          <w:wAfter w:w="57" w:type="dxa"/>
          <w:cantSplit/>
        </w:trPr>
        <w:tc>
          <w:tcPr>
            <w:tcW w:w="1007" w:type="dxa"/>
          </w:tcPr>
          <w:p w14:paraId="02E85F47" w14:textId="77777777" w:rsidR="00440DE0" w:rsidRPr="00275F61" w:rsidRDefault="00440DE0" w:rsidP="00401E68">
            <w:pPr>
              <w:jc w:val="center"/>
              <w:rPr>
                <w:rFonts w:cs="Arial"/>
                <w:color w:val="000000" w:themeColor="text1"/>
                <w:sz w:val="18"/>
              </w:rPr>
            </w:pPr>
          </w:p>
        </w:tc>
        <w:tc>
          <w:tcPr>
            <w:tcW w:w="850" w:type="dxa"/>
            <w:tcBorders>
              <w:left w:val="single" w:sz="6" w:space="0" w:color="auto"/>
              <w:right w:val="single" w:sz="6" w:space="0" w:color="auto"/>
            </w:tcBorders>
          </w:tcPr>
          <w:p w14:paraId="279BD793" w14:textId="77777777" w:rsidR="00440DE0" w:rsidRPr="00275F61" w:rsidRDefault="00440DE0" w:rsidP="00401E68">
            <w:pPr>
              <w:jc w:val="center"/>
              <w:rPr>
                <w:rFonts w:cs="Arial"/>
                <w:color w:val="000000" w:themeColor="text1"/>
                <w:sz w:val="18"/>
              </w:rPr>
            </w:pPr>
          </w:p>
        </w:tc>
        <w:tc>
          <w:tcPr>
            <w:tcW w:w="1321" w:type="dxa"/>
            <w:gridSpan w:val="2"/>
            <w:tcBorders>
              <w:right w:val="single" w:sz="6" w:space="0" w:color="auto"/>
            </w:tcBorders>
          </w:tcPr>
          <w:p w14:paraId="20A9DF66" w14:textId="77777777" w:rsidR="00440DE0" w:rsidRPr="00275F61" w:rsidRDefault="00440DE0" w:rsidP="00401E68">
            <w:pPr>
              <w:jc w:val="center"/>
              <w:rPr>
                <w:rFonts w:cs="Arial"/>
                <w:color w:val="000000" w:themeColor="text1"/>
                <w:sz w:val="18"/>
              </w:rPr>
            </w:pPr>
          </w:p>
        </w:tc>
        <w:tc>
          <w:tcPr>
            <w:tcW w:w="6524" w:type="dxa"/>
            <w:gridSpan w:val="4"/>
            <w:vAlign w:val="center"/>
          </w:tcPr>
          <w:p w14:paraId="2FEC10FD" w14:textId="77777777" w:rsidR="00440DE0" w:rsidRPr="00275F61" w:rsidRDefault="00440DE0" w:rsidP="00401E68">
            <w:pPr>
              <w:rPr>
                <w:rFonts w:cs="Arial"/>
                <w:color w:val="000000" w:themeColor="text1"/>
                <w:sz w:val="18"/>
                <w:szCs w:val="18"/>
              </w:rPr>
            </w:pPr>
          </w:p>
        </w:tc>
      </w:tr>
      <w:tr w:rsidR="00275F61" w:rsidRPr="00275F61" w14:paraId="41086084" w14:textId="77777777" w:rsidTr="00F37EA5">
        <w:tblPrEx>
          <w:tblCellMar>
            <w:left w:w="57" w:type="dxa"/>
            <w:right w:w="57" w:type="dxa"/>
          </w:tblCellMar>
        </w:tblPrEx>
        <w:trPr>
          <w:gridAfter w:val="1"/>
          <w:wAfter w:w="57" w:type="dxa"/>
          <w:cantSplit/>
        </w:trPr>
        <w:tc>
          <w:tcPr>
            <w:tcW w:w="1007" w:type="dxa"/>
          </w:tcPr>
          <w:p w14:paraId="5E55F72E"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22F87881"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3133A9B5" w14:textId="77777777" w:rsidR="003011DE" w:rsidRPr="00275F61" w:rsidRDefault="003011DE" w:rsidP="00401E68">
            <w:pPr>
              <w:jc w:val="center"/>
              <w:rPr>
                <w:rFonts w:cs="Arial"/>
                <w:color w:val="000000" w:themeColor="text1"/>
                <w:sz w:val="18"/>
              </w:rPr>
            </w:pPr>
          </w:p>
        </w:tc>
        <w:tc>
          <w:tcPr>
            <w:tcW w:w="6524" w:type="dxa"/>
            <w:gridSpan w:val="4"/>
            <w:vAlign w:val="center"/>
          </w:tcPr>
          <w:p w14:paraId="26024B1D" w14:textId="77777777" w:rsidR="003011DE" w:rsidRPr="00275F61" w:rsidRDefault="003011DE" w:rsidP="00401E68">
            <w:pPr>
              <w:rPr>
                <w:rFonts w:cs="Arial"/>
                <w:color w:val="000000" w:themeColor="text1"/>
                <w:sz w:val="18"/>
                <w:szCs w:val="18"/>
              </w:rPr>
            </w:pPr>
          </w:p>
        </w:tc>
      </w:tr>
      <w:tr w:rsidR="00275F61" w:rsidRPr="00275F61" w14:paraId="12CE9CEF" w14:textId="77777777" w:rsidTr="00F37EA5">
        <w:tblPrEx>
          <w:tblCellMar>
            <w:left w:w="57" w:type="dxa"/>
            <w:right w:w="57" w:type="dxa"/>
          </w:tblCellMar>
        </w:tblPrEx>
        <w:trPr>
          <w:gridAfter w:val="1"/>
          <w:wAfter w:w="57" w:type="dxa"/>
          <w:cantSplit/>
        </w:trPr>
        <w:tc>
          <w:tcPr>
            <w:tcW w:w="1007" w:type="dxa"/>
          </w:tcPr>
          <w:p w14:paraId="796B7EA4"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2BE65FDA"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3FF7F4DA" w14:textId="77777777" w:rsidR="003011DE" w:rsidRPr="00275F61" w:rsidRDefault="003011DE" w:rsidP="00401E68">
            <w:pPr>
              <w:jc w:val="center"/>
              <w:rPr>
                <w:rFonts w:cs="Arial"/>
                <w:color w:val="000000" w:themeColor="text1"/>
                <w:sz w:val="18"/>
              </w:rPr>
            </w:pPr>
          </w:p>
        </w:tc>
        <w:tc>
          <w:tcPr>
            <w:tcW w:w="6524" w:type="dxa"/>
            <w:gridSpan w:val="4"/>
            <w:vAlign w:val="center"/>
          </w:tcPr>
          <w:p w14:paraId="2679340D" w14:textId="77777777" w:rsidR="003011DE" w:rsidRPr="00275F61" w:rsidRDefault="003011DE" w:rsidP="00401E68">
            <w:pPr>
              <w:rPr>
                <w:rFonts w:cs="Arial"/>
                <w:color w:val="000000" w:themeColor="text1"/>
                <w:sz w:val="18"/>
                <w:szCs w:val="18"/>
              </w:rPr>
            </w:pPr>
          </w:p>
        </w:tc>
      </w:tr>
      <w:tr w:rsidR="00275F61" w:rsidRPr="00275F61" w14:paraId="0996B0D5" w14:textId="77777777" w:rsidTr="00F37EA5">
        <w:tblPrEx>
          <w:tblCellMar>
            <w:left w:w="57" w:type="dxa"/>
            <w:right w:w="57" w:type="dxa"/>
          </w:tblCellMar>
        </w:tblPrEx>
        <w:trPr>
          <w:gridAfter w:val="1"/>
          <w:wAfter w:w="57" w:type="dxa"/>
          <w:cantSplit/>
        </w:trPr>
        <w:tc>
          <w:tcPr>
            <w:tcW w:w="1007" w:type="dxa"/>
            <w:tcBorders>
              <w:bottom w:val="single" w:sz="4" w:space="0" w:color="auto"/>
            </w:tcBorders>
            <w:vAlign w:val="center"/>
          </w:tcPr>
          <w:p w14:paraId="1B6737DF" w14:textId="77777777" w:rsidR="000F0EDC" w:rsidRPr="00275F61" w:rsidRDefault="000F0EDC" w:rsidP="00401E68">
            <w:pPr>
              <w:spacing w:after="0"/>
              <w:jc w:val="center"/>
              <w:rPr>
                <w:rFonts w:cs="Arial"/>
                <w:color w:val="000000" w:themeColor="text1"/>
                <w:sz w:val="18"/>
              </w:rPr>
            </w:pPr>
          </w:p>
        </w:tc>
        <w:tc>
          <w:tcPr>
            <w:tcW w:w="850" w:type="dxa"/>
            <w:tcBorders>
              <w:left w:val="single" w:sz="6" w:space="0" w:color="auto"/>
              <w:bottom w:val="single" w:sz="4" w:space="0" w:color="auto"/>
              <w:right w:val="single" w:sz="6" w:space="0" w:color="auto"/>
            </w:tcBorders>
            <w:vAlign w:val="center"/>
          </w:tcPr>
          <w:p w14:paraId="61D71E95" w14:textId="77777777" w:rsidR="000F0EDC" w:rsidRPr="00275F61" w:rsidRDefault="000F0EDC" w:rsidP="00401E68">
            <w:pPr>
              <w:spacing w:after="0"/>
              <w:jc w:val="center"/>
              <w:rPr>
                <w:rFonts w:cs="Arial"/>
                <w:color w:val="000000" w:themeColor="text1"/>
                <w:sz w:val="18"/>
              </w:rPr>
            </w:pPr>
          </w:p>
        </w:tc>
        <w:tc>
          <w:tcPr>
            <w:tcW w:w="1321" w:type="dxa"/>
            <w:gridSpan w:val="2"/>
            <w:tcBorders>
              <w:bottom w:val="single" w:sz="4" w:space="0" w:color="auto"/>
              <w:right w:val="single" w:sz="6" w:space="0" w:color="auto"/>
            </w:tcBorders>
          </w:tcPr>
          <w:p w14:paraId="14BD194A" w14:textId="77777777" w:rsidR="000F0EDC" w:rsidRPr="00275F61" w:rsidRDefault="000F0EDC" w:rsidP="00401E68">
            <w:pPr>
              <w:spacing w:after="0"/>
              <w:jc w:val="center"/>
              <w:rPr>
                <w:rFonts w:cs="Arial"/>
                <w:color w:val="000000" w:themeColor="text1"/>
                <w:sz w:val="18"/>
              </w:rPr>
            </w:pPr>
          </w:p>
        </w:tc>
        <w:tc>
          <w:tcPr>
            <w:tcW w:w="6524" w:type="dxa"/>
            <w:gridSpan w:val="4"/>
            <w:tcBorders>
              <w:bottom w:val="single" w:sz="4" w:space="0" w:color="auto"/>
            </w:tcBorders>
            <w:vAlign w:val="center"/>
          </w:tcPr>
          <w:p w14:paraId="357FF996" w14:textId="77777777" w:rsidR="000F0EDC" w:rsidRPr="00275F61" w:rsidRDefault="000F0EDC" w:rsidP="00401E68">
            <w:pPr>
              <w:rPr>
                <w:rFonts w:cs="Arial"/>
                <w:color w:val="000000" w:themeColor="text1"/>
                <w:sz w:val="18"/>
                <w:szCs w:val="18"/>
              </w:rPr>
            </w:pPr>
          </w:p>
        </w:tc>
      </w:tr>
      <w:tr w:rsidR="00275F61" w:rsidRPr="00275F61" w14:paraId="33561F5E" w14:textId="77777777" w:rsidTr="00E64946">
        <w:tblPrEx>
          <w:tblCellMar>
            <w:left w:w="57" w:type="dxa"/>
            <w:right w:w="57" w:type="dxa"/>
          </w:tblCellMar>
        </w:tblPrEx>
        <w:trPr>
          <w:gridAfter w:val="1"/>
          <w:wAfter w:w="57" w:type="dxa"/>
          <w:cantSplit/>
          <w:trHeight w:val="691"/>
        </w:trPr>
        <w:tc>
          <w:tcPr>
            <w:tcW w:w="9702" w:type="dxa"/>
            <w:gridSpan w:val="8"/>
            <w:tcBorders>
              <w:top w:val="single" w:sz="12" w:space="0" w:color="auto"/>
              <w:bottom w:val="single" w:sz="4" w:space="0" w:color="auto"/>
            </w:tcBorders>
            <w:vAlign w:val="center"/>
          </w:tcPr>
          <w:p w14:paraId="750A9DD6" w14:textId="77777777" w:rsidR="0088440E" w:rsidRPr="00275F61" w:rsidRDefault="00E64946" w:rsidP="009E3FE8">
            <w:pPr>
              <w:spacing w:after="0"/>
              <w:jc w:val="left"/>
              <w:rPr>
                <w:rFonts w:cs="Arial"/>
                <w:color w:val="000000" w:themeColor="text1"/>
                <w:sz w:val="20"/>
              </w:rPr>
            </w:pPr>
            <w:r w:rsidRPr="00275F61">
              <w:rPr>
                <w:rFonts w:cs="Arial"/>
                <w:color w:val="000000" w:themeColor="text1"/>
                <w:sz w:val="18"/>
                <w:szCs w:val="18"/>
                <w:u w:val="single"/>
              </w:rPr>
              <w:t>Distribuição de cópias</w:t>
            </w:r>
            <w:r w:rsidRPr="00275F61">
              <w:rPr>
                <w:rFonts w:cs="Arial"/>
                <w:color w:val="000000" w:themeColor="text1"/>
                <w:sz w:val="18"/>
                <w:szCs w:val="18"/>
              </w:rPr>
              <w:t xml:space="preserve"> (disponíveis na intranet)</w:t>
            </w:r>
            <w:r w:rsidR="002A4B1D" w:rsidRPr="00275F61">
              <w:rPr>
                <w:rFonts w:cs="Arial"/>
                <w:color w:val="000000" w:themeColor="text1"/>
                <w:sz w:val="20"/>
              </w:rPr>
              <w:t>.</w:t>
            </w:r>
          </w:p>
        </w:tc>
      </w:tr>
      <w:tr w:rsidR="00275F61" w:rsidRPr="00275F61" w14:paraId="1F2E9922" w14:textId="77777777" w:rsidTr="000129CB">
        <w:tblPrEx>
          <w:tblCellMar>
            <w:left w:w="57" w:type="dxa"/>
            <w:right w:w="57" w:type="dxa"/>
          </w:tblCellMar>
        </w:tblPrEx>
        <w:trPr>
          <w:gridAfter w:val="1"/>
          <w:wAfter w:w="57" w:type="dxa"/>
          <w:cantSplit/>
          <w:trHeight w:val="258"/>
        </w:trPr>
        <w:tc>
          <w:tcPr>
            <w:tcW w:w="2991" w:type="dxa"/>
            <w:gridSpan w:val="3"/>
            <w:tcBorders>
              <w:top w:val="single" w:sz="4" w:space="0" w:color="auto"/>
            </w:tcBorders>
          </w:tcPr>
          <w:p w14:paraId="09FE201C" w14:textId="77777777" w:rsidR="0088440E" w:rsidRPr="00275F61" w:rsidRDefault="0088440E" w:rsidP="00D141A9">
            <w:pPr>
              <w:spacing w:after="0"/>
              <w:rPr>
                <w:rFonts w:cs="Arial"/>
                <w:color w:val="000000" w:themeColor="text1"/>
                <w:sz w:val="12"/>
              </w:rPr>
            </w:pPr>
            <w:r w:rsidRPr="00275F61">
              <w:rPr>
                <w:rFonts w:cs="Arial"/>
                <w:color w:val="000000" w:themeColor="text1"/>
                <w:sz w:val="12"/>
              </w:rPr>
              <w:t>Elaborado por:</w:t>
            </w:r>
          </w:p>
        </w:tc>
        <w:tc>
          <w:tcPr>
            <w:tcW w:w="2126" w:type="dxa"/>
            <w:gridSpan w:val="2"/>
            <w:tcBorders>
              <w:top w:val="single" w:sz="4" w:space="0" w:color="auto"/>
            </w:tcBorders>
          </w:tcPr>
          <w:p w14:paraId="7522862B" w14:textId="77777777" w:rsidR="0088440E" w:rsidRPr="00275F61" w:rsidRDefault="0088440E" w:rsidP="00D141A9">
            <w:pPr>
              <w:spacing w:after="0"/>
              <w:rPr>
                <w:rFonts w:cs="Arial"/>
                <w:color w:val="000000" w:themeColor="text1"/>
                <w:sz w:val="12"/>
              </w:rPr>
            </w:pPr>
            <w:r w:rsidRPr="00275F61">
              <w:rPr>
                <w:rFonts w:cs="Arial"/>
                <w:color w:val="000000" w:themeColor="text1"/>
                <w:sz w:val="12"/>
              </w:rPr>
              <w:t>Visto:</w:t>
            </w:r>
          </w:p>
        </w:tc>
        <w:tc>
          <w:tcPr>
            <w:tcW w:w="3265" w:type="dxa"/>
            <w:gridSpan w:val="2"/>
            <w:tcBorders>
              <w:top w:val="single" w:sz="4" w:space="0" w:color="auto"/>
            </w:tcBorders>
          </w:tcPr>
          <w:p w14:paraId="48822212" w14:textId="77777777" w:rsidR="0088440E" w:rsidRPr="00275F61" w:rsidRDefault="0088440E" w:rsidP="00D141A9">
            <w:pPr>
              <w:spacing w:after="0"/>
              <w:rPr>
                <w:rFonts w:cs="Arial"/>
                <w:color w:val="000000" w:themeColor="text1"/>
                <w:sz w:val="12"/>
              </w:rPr>
            </w:pPr>
            <w:r w:rsidRPr="00275F61">
              <w:rPr>
                <w:rFonts w:cs="Arial"/>
                <w:color w:val="000000" w:themeColor="text1"/>
                <w:sz w:val="12"/>
              </w:rPr>
              <w:t>Verificado por:</w:t>
            </w:r>
          </w:p>
        </w:tc>
        <w:tc>
          <w:tcPr>
            <w:tcW w:w="1320" w:type="dxa"/>
            <w:tcBorders>
              <w:top w:val="single" w:sz="4" w:space="0" w:color="auto"/>
            </w:tcBorders>
          </w:tcPr>
          <w:p w14:paraId="4361EF85" w14:textId="77777777" w:rsidR="0088440E" w:rsidRPr="00275F61" w:rsidRDefault="0088440E" w:rsidP="00D141A9">
            <w:pPr>
              <w:spacing w:after="0"/>
              <w:ind w:left="163"/>
              <w:rPr>
                <w:rFonts w:cs="Arial"/>
                <w:color w:val="000000" w:themeColor="text1"/>
                <w:sz w:val="12"/>
              </w:rPr>
            </w:pPr>
            <w:r w:rsidRPr="00275F61">
              <w:rPr>
                <w:rFonts w:cs="Arial"/>
                <w:color w:val="000000" w:themeColor="text1"/>
                <w:sz w:val="12"/>
              </w:rPr>
              <w:t>Visto:</w:t>
            </w:r>
          </w:p>
        </w:tc>
      </w:tr>
      <w:tr w:rsidR="00275F61" w:rsidRPr="00275F61" w14:paraId="6FD9EA8F" w14:textId="77777777" w:rsidTr="000129CB">
        <w:tblPrEx>
          <w:tblCellMar>
            <w:left w:w="57" w:type="dxa"/>
            <w:right w:w="57" w:type="dxa"/>
          </w:tblCellMar>
        </w:tblPrEx>
        <w:trPr>
          <w:gridAfter w:val="1"/>
          <w:wAfter w:w="57" w:type="dxa"/>
          <w:cantSplit/>
          <w:trHeight w:val="258"/>
        </w:trPr>
        <w:tc>
          <w:tcPr>
            <w:tcW w:w="2991" w:type="dxa"/>
            <w:gridSpan w:val="3"/>
            <w:tcBorders>
              <w:bottom w:val="single" w:sz="4" w:space="0" w:color="auto"/>
            </w:tcBorders>
          </w:tcPr>
          <w:p w14:paraId="59B582B2" w14:textId="7812AC95" w:rsidR="0088440E" w:rsidRPr="00275F61" w:rsidRDefault="001B2AC7" w:rsidP="001B2AC7">
            <w:pPr>
              <w:spacing w:after="0"/>
              <w:jc w:val="left"/>
              <w:rPr>
                <w:rFonts w:cs="Arial"/>
                <w:color w:val="000000" w:themeColor="text1"/>
                <w:sz w:val="18"/>
              </w:rPr>
            </w:pPr>
            <w:r w:rsidRPr="00275F61">
              <w:rPr>
                <w:rFonts w:cs="Arial"/>
                <w:color w:val="000000" w:themeColor="text1"/>
                <w:sz w:val="18"/>
              </w:rPr>
              <w:t xml:space="preserve">MARIANA </w:t>
            </w:r>
            <w:r>
              <w:rPr>
                <w:rFonts w:cs="Arial"/>
                <w:color w:val="000000" w:themeColor="text1"/>
                <w:sz w:val="18"/>
              </w:rPr>
              <w:t>SANTOS</w:t>
            </w:r>
          </w:p>
        </w:tc>
        <w:tc>
          <w:tcPr>
            <w:tcW w:w="2126" w:type="dxa"/>
            <w:gridSpan w:val="2"/>
            <w:tcBorders>
              <w:bottom w:val="single" w:sz="4" w:space="0" w:color="auto"/>
            </w:tcBorders>
          </w:tcPr>
          <w:p w14:paraId="2363BC3C" w14:textId="77777777" w:rsidR="0088440E" w:rsidRPr="00C01DC8" w:rsidRDefault="0088440E" w:rsidP="00D141A9">
            <w:pPr>
              <w:spacing w:after="0"/>
              <w:jc w:val="left"/>
              <w:rPr>
                <w:rFonts w:cs="Arial"/>
                <w:i/>
                <w:color w:val="000000" w:themeColor="text1"/>
                <w:sz w:val="12"/>
              </w:rPr>
            </w:pPr>
          </w:p>
        </w:tc>
        <w:tc>
          <w:tcPr>
            <w:tcW w:w="3265" w:type="dxa"/>
            <w:gridSpan w:val="2"/>
            <w:tcBorders>
              <w:bottom w:val="single" w:sz="4" w:space="0" w:color="auto"/>
            </w:tcBorders>
          </w:tcPr>
          <w:p w14:paraId="44390DE8" w14:textId="7D6A0C25" w:rsidR="00C01DC8" w:rsidRPr="00C01DC8" w:rsidRDefault="00C01DC8" w:rsidP="00C01DC8">
            <w:pPr>
              <w:spacing w:after="0"/>
              <w:jc w:val="left"/>
              <w:rPr>
                <w:rFonts w:cs="Arial"/>
                <w:color w:val="000000" w:themeColor="text1"/>
                <w:sz w:val="18"/>
              </w:rPr>
            </w:pPr>
            <w:r>
              <w:rPr>
                <w:rFonts w:cs="Arial"/>
                <w:color w:val="000000" w:themeColor="text1"/>
                <w:sz w:val="18"/>
              </w:rPr>
              <w:t>FABIOLA BATISTA</w:t>
            </w:r>
          </w:p>
        </w:tc>
        <w:tc>
          <w:tcPr>
            <w:tcW w:w="1320" w:type="dxa"/>
            <w:tcBorders>
              <w:bottom w:val="single" w:sz="4" w:space="0" w:color="auto"/>
            </w:tcBorders>
          </w:tcPr>
          <w:p w14:paraId="5BD75B64" w14:textId="77777777" w:rsidR="0088440E" w:rsidRPr="00275F61" w:rsidRDefault="0088440E" w:rsidP="00D141A9">
            <w:pPr>
              <w:spacing w:after="0"/>
              <w:rPr>
                <w:rFonts w:cs="Arial"/>
                <w:color w:val="000000" w:themeColor="text1"/>
                <w:sz w:val="12"/>
              </w:rPr>
            </w:pPr>
          </w:p>
        </w:tc>
      </w:tr>
      <w:tr w:rsidR="00275F61" w:rsidRPr="00275F61" w14:paraId="19161A28" w14:textId="77777777" w:rsidTr="000129CB">
        <w:tblPrEx>
          <w:tblCellMar>
            <w:left w:w="57" w:type="dxa"/>
            <w:right w:w="57" w:type="dxa"/>
          </w:tblCellMar>
        </w:tblPrEx>
        <w:trPr>
          <w:gridAfter w:val="1"/>
          <w:wAfter w:w="57" w:type="dxa"/>
          <w:cantSplit/>
        </w:trPr>
        <w:tc>
          <w:tcPr>
            <w:tcW w:w="2991" w:type="dxa"/>
            <w:gridSpan w:val="3"/>
            <w:tcBorders>
              <w:top w:val="single" w:sz="4" w:space="0" w:color="auto"/>
            </w:tcBorders>
          </w:tcPr>
          <w:p w14:paraId="16086AFC" w14:textId="77777777" w:rsidR="0088440E" w:rsidRPr="00275F61" w:rsidRDefault="0088440E" w:rsidP="00D141A9">
            <w:pPr>
              <w:spacing w:after="0"/>
              <w:rPr>
                <w:rFonts w:cs="Arial"/>
                <w:color w:val="000000" w:themeColor="text1"/>
                <w:sz w:val="12"/>
              </w:rPr>
            </w:pPr>
            <w:r w:rsidRPr="00275F61">
              <w:rPr>
                <w:rFonts w:cs="Arial"/>
                <w:color w:val="000000" w:themeColor="text1"/>
                <w:sz w:val="12"/>
              </w:rPr>
              <w:t>Aprovado por:</w:t>
            </w:r>
          </w:p>
        </w:tc>
        <w:tc>
          <w:tcPr>
            <w:tcW w:w="4779" w:type="dxa"/>
            <w:gridSpan w:val="3"/>
            <w:tcBorders>
              <w:top w:val="single" w:sz="4" w:space="0" w:color="auto"/>
            </w:tcBorders>
          </w:tcPr>
          <w:p w14:paraId="5BFD02E9" w14:textId="77777777" w:rsidR="0088440E" w:rsidRPr="00C01DC8" w:rsidRDefault="0088440E" w:rsidP="00D141A9">
            <w:pPr>
              <w:spacing w:after="0"/>
              <w:ind w:left="29"/>
              <w:rPr>
                <w:rFonts w:cs="Arial"/>
                <w:i/>
                <w:color w:val="000000" w:themeColor="text1"/>
                <w:sz w:val="12"/>
              </w:rPr>
            </w:pPr>
            <w:r w:rsidRPr="00C01DC8">
              <w:rPr>
                <w:rFonts w:cs="Arial"/>
                <w:i/>
                <w:color w:val="000000" w:themeColor="text1"/>
                <w:sz w:val="12"/>
              </w:rPr>
              <w:t>Visto:</w:t>
            </w:r>
          </w:p>
        </w:tc>
        <w:tc>
          <w:tcPr>
            <w:tcW w:w="1932" w:type="dxa"/>
            <w:gridSpan w:val="2"/>
            <w:tcBorders>
              <w:top w:val="single" w:sz="4" w:space="0" w:color="auto"/>
            </w:tcBorders>
          </w:tcPr>
          <w:p w14:paraId="14659BC9" w14:textId="77777777" w:rsidR="0088440E" w:rsidRPr="00C01DC8" w:rsidRDefault="0088440E" w:rsidP="00D141A9">
            <w:pPr>
              <w:spacing w:after="0"/>
              <w:ind w:left="775"/>
              <w:rPr>
                <w:rFonts w:cs="Arial"/>
                <w:i/>
                <w:color w:val="000000" w:themeColor="text1"/>
                <w:sz w:val="12"/>
              </w:rPr>
            </w:pPr>
            <w:r w:rsidRPr="00C01DC8">
              <w:rPr>
                <w:rFonts w:cs="Arial"/>
                <w:i/>
                <w:color w:val="000000" w:themeColor="text1"/>
                <w:sz w:val="12"/>
              </w:rPr>
              <w:t>Data</w:t>
            </w:r>
          </w:p>
        </w:tc>
      </w:tr>
      <w:tr w:rsidR="00275F61" w:rsidRPr="00275F61" w14:paraId="6A3D6748" w14:textId="77777777" w:rsidTr="001E23EF">
        <w:tblPrEx>
          <w:tblCellMar>
            <w:left w:w="57" w:type="dxa"/>
            <w:right w:w="57" w:type="dxa"/>
          </w:tblCellMar>
        </w:tblPrEx>
        <w:trPr>
          <w:gridAfter w:val="1"/>
          <w:wAfter w:w="57" w:type="dxa"/>
          <w:cantSplit/>
        </w:trPr>
        <w:tc>
          <w:tcPr>
            <w:tcW w:w="7770" w:type="dxa"/>
            <w:gridSpan w:val="6"/>
            <w:tcBorders>
              <w:bottom w:val="thinThickSmallGap" w:sz="24" w:space="0" w:color="auto"/>
            </w:tcBorders>
          </w:tcPr>
          <w:p w14:paraId="7FF6237B" w14:textId="7995ADAC" w:rsidR="0088440E" w:rsidRPr="00275F61" w:rsidRDefault="001B2AC7" w:rsidP="00D141A9">
            <w:pPr>
              <w:spacing w:after="0"/>
              <w:rPr>
                <w:rFonts w:cs="Arial"/>
                <w:color w:val="000000" w:themeColor="text1"/>
                <w:sz w:val="18"/>
              </w:rPr>
            </w:pPr>
            <w:r>
              <w:rPr>
                <w:rFonts w:cs="Arial"/>
                <w:color w:val="000000" w:themeColor="text1"/>
                <w:sz w:val="18"/>
              </w:rPr>
              <w:t>EUSTAQUIO MENDES</w:t>
            </w:r>
          </w:p>
        </w:tc>
        <w:tc>
          <w:tcPr>
            <w:tcW w:w="1932" w:type="dxa"/>
            <w:gridSpan w:val="2"/>
            <w:tcBorders>
              <w:bottom w:val="thinThickSmallGap" w:sz="24" w:space="0" w:color="auto"/>
            </w:tcBorders>
            <w:shd w:val="clear" w:color="auto" w:fill="auto"/>
          </w:tcPr>
          <w:p w14:paraId="20BC134E" w14:textId="0C4B7275" w:rsidR="001B2AC7" w:rsidRPr="001B2AC7" w:rsidRDefault="00F91999" w:rsidP="001B2AC7">
            <w:pPr>
              <w:spacing w:after="0"/>
              <w:jc w:val="center"/>
              <w:rPr>
                <w:color w:val="000000" w:themeColor="text1"/>
                <w:sz w:val="20"/>
                <w:szCs w:val="22"/>
              </w:rPr>
            </w:pPr>
            <w:r>
              <w:rPr>
                <w:color w:val="000000" w:themeColor="text1"/>
                <w:sz w:val="20"/>
                <w:szCs w:val="22"/>
              </w:rPr>
              <w:t>11</w:t>
            </w:r>
            <w:r w:rsidR="001B2AC7">
              <w:rPr>
                <w:color w:val="000000" w:themeColor="text1"/>
                <w:sz w:val="20"/>
                <w:szCs w:val="22"/>
              </w:rPr>
              <w:t>/10/2016</w:t>
            </w:r>
          </w:p>
        </w:tc>
      </w:tr>
    </w:tbl>
    <w:p w14:paraId="50B02E17" w14:textId="325E30F8" w:rsidR="00C54FEF" w:rsidRPr="00275F61" w:rsidRDefault="00C54FEF">
      <w:pPr>
        <w:pStyle w:val="Ttulo1"/>
        <w:keepNext w:val="0"/>
        <w:pageBreakBefore/>
        <w:spacing w:before="120"/>
        <w:rPr>
          <w:rFonts w:cs="Arial"/>
          <w:color w:val="000000" w:themeColor="text1"/>
        </w:rPr>
      </w:pPr>
      <w:r w:rsidRPr="00275F61">
        <w:rPr>
          <w:rFonts w:cs="Arial"/>
          <w:color w:val="000000" w:themeColor="text1"/>
        </w:rPr>
        <w:lastRenderedPageBreak/>
        <w:t>OBJETIVO</w:t>
      </w:r>
    </w:p>
    <w:p w14:paraId="11E508A4" w14:textId="18738A7A" w:rsidR="00980AF4" w:rsidRDefault="002265EC" w:rsidP="00AA25EA">
      <w:pPr>
        <w:pStyle w:val="Default"/>
        <w:jc w:val="both"/>
        <w:rPr>
          <w:color w:val="000000" w:themeColor="text1"/>
          <w:sz w:val="22"/>
          <w:szCs w:val="22"/>
        </w:rPr>
      </w:pPr>
      <w:r w:rsidRPr="002265EC">
        <w:rPr>
          <w:color w:val="000000" w:themeColor="text1"/>
          <w:sz w:val="22"/>
          <w:szCs w:val="22"/>
        </w:rPr>
        <w:t>Estabelecer diretrizes, competências, procedimentos e controles aplicáveis ao processo de compras da empresa. As diretrizes aqui estabelecidas visam nortear as aquisições de bens, materiais e serviços, dentro de um ambiente ético, transparente e, sobretudo, capaz de proporcionar uma permanente busca da melhoria contínua dos processos e da excelência da qualidade no sistema de abastecimento da empresa.</w:t>
      </w:r>
    </w:p>
    <w:p w14:paraId="53173F10" w14:textId="77777777" w:rsidR="00154A6F" w:rsidRDefault="00154A6F" w:rsidP="00E077B6">
      <w:pPr>
        <w:pStyle w:val="Default"/>
        <w:rPr>
          <w:color w:val="000000" w:themeColor="text1"/>
          <w:sz w:val="22"/>
          <w:szCs w:val="22"/>
        </w:rPr>
      </w:pPr>
    </w:p>
    <w:p w14:paraId="1A893EB7" w14:textId="77777777" w:rsidR="00C54FEF" w:rsidRDefault="009E3FE8" w:rsidP="002E0750">
      <w:pPr>
        <w:pStyle w:val="Ttulo1"/>
        <w:spacing w:before="360"/>
        <w:rPr>
          <w:rFonts w:cs="Arial"/>
          <w:color w:val="000000" w:themeColor="text1"/>
        </w:rPr>
      </w:pPr>
      <w:r w:rsidRPr="00275F61">
        <w:rPr>
          <w:rFonts w:cs="Arial"/>
          <w:color w:val="000000" w:themeColor="text1"/>
        </w:rPr>
        <w:t>TERMOS E DEFINIÇÕES</w:t>
      </w:r>
    </w:p>
    <w:p w14:paraId="20628F97" w14:textId="77777777" w:rsidR="00D82601" w:rsidRDefault="00D82601" w:rsidP="00B705E9">
      <w:r w:rsidRPr="00AF4970">
        <w:rPr>
          <w:b/>
        </w:rPr>
        <w:t>Análise de Requisitos:</w:t>
      </w:r>
      <w:r w:rsidRPr="00AF4970">
        <w:t xml:space="preserve"> Conjunto de</w:t>
      </w:r>
      <w:r>
        <w:t xml:space="preserve"> atividades que permite identificar as necessidades do usuário de modo a obter uma definição clara das características (requisitos) de um sistema. Essas características descrevem o sistema em termos de funcionalidades, desempenho esperado, restrições de projeto, níveis de qualidade esperados, interface com outros elementos do sistema.</w:t>
      </w:r>
    </w:p>
    <w:p w14:paraId="002B5520" w14:textId="77777777" w:rsidR="00D82601" w:rsidRPr="003C7654" w:rsidRDefault="00D82601" w:rsidP="003C7654">
      <w:pPr>
        <w:rPr>
          <w:rFonts w:cs="Arial"/>
          <w:b/>
          <w:color w:val="000000" w:themeColor="text1"/>
          <w:szCs w:val="22"/>
        </w:rPr>
      </w:pPr>
      <w:r w:rsidRPr="003C7654">
        <w:rPr>
          <w:rFonts w:cs="Arial"/>
          <w:b/>
          <w:color w:val="000000" w:themeColor="text1"/>
          <w:szCs w:val="22"/>
        </w:rPr>
        <w:t xml:space="preserve">Atestado de Capacidade Técnica: </w:t>
      </w:r>
      <w:r w:rsidRPr="003C7654">
        <w:rPr>
          <w:rFonts w:cs="Arial"/>
          <w:color w:val="000000" w:themeColor="text1"/>
          <w:szCs w:val="22"/>
          <w:shd w:val="clear" w:color="auto" w:fill="FFFFFF"/>
        </w:rPr>
        <w:t>consiste na apresentação de documento que tem por objetivo comprovar o fornecimento de materiais, a prestação de serviços ou a execução de obras por parte de uma empresa. Deverá ser emitido por pessoa jurídica de direito público ou privado, em papel timbrado, assinado por seu representante legal, discriminando o teor da contratação e os dados da empresa contratada.</w:t>
      </w:r>
    </w:p>
    <w:p w14:paraId="196D58C3" w14:textId="77777777" w:rsidR="00D82601" w:rsidRDefault="00D82601" w:rsidP="00B705E9">
      <w:r w:rsidRPr="00D73E0D">
        <w:rPr>
          <w:b/>
        </w:rPr>
        <w:t>Avaliação:</w:t>
      </w:r>
      <w:r>
        <w:t xml:space="preserve"> Exame sistemático do grau em que um produto, processo ou serviço atende aos requisitos especificados.</w:t>
      </w:r>
    </w:p>
    <w:p w14:paraId="12F2E3CC" w14:textId="77777777" w:rsidR="00D82601" w:rsidRDefault="00D82601" w:rsidP="00B705E9">
      <w:r w:rsidRPr="00D73E0D">
        <w:rPr>
          <w:b/>
        </w:rPr>
        <w:t>Conformidade:</w:t>
      </w:r>
      <w:r>
        <w:t xml:space="preserve"> Atendimento a um requisito.</w:t>
      </w:r>
    </w:p>
    <w:p w14:paraId="0B19B860" w14:textId="77777777" w:rsidR="00D82601" w:rsidRPr="003C7654" w:rsidRDefault="00D82601" w:rsidP="003C7654">
      <w:pPr>
        <w:rPr>
          <w:rFonts w:cs="Arial"/>
          <w:b/>
          <w:color w:val="000000" w:themeColor="text1"/>
          <w:szCs w:val="22"/>
        </w:rPr>
      </w:pPr>
      <w:r w:rsidRPr="003C7654">
        <w:rPr>
          <w:rFonts w:cs="Arial"/>
          <w:b/>
          <w:color w:val="000000" w:themeColor="text1"/>
          <w:szCs w:val="22"/>
        </w:rPr>
        <w:t xml:space="preserve">Contrato Social: </w:t>
      </w:r>
      <w:r w:rsidRPr="003C7654">
        <w:rPr>
          <w:rStyle w:val="Forte"/>
          <w:rFonts w:cs="Arial"/>
          <w:b w:val="0"/>
          <w:bCs w:val="0"/>
          <w:color w:val="000000" w:themeColor="text1"/>
          <w:szCs w:val="22"/>
          <w:shd w:val="clear" w:color="auto" w:fill="FFFFFF"/>
        </w:rPr>
        <w:t>é um documento que estabelece normas de relacionamento entre os sócios e a sociedade.</w:t>
      </w:r>
    </w:p>
    <w:p w14:paraId="74C2E770" w14:textId="77777777" w:rsidR="00D82601" w:rsidRPr="004C7C51" w:rsidRDefault="00D82601" w:rsidP="004C7C51">
      <w:r w:rsidRPr="004C7C51">
        <w:rPr>
          <w:b/>
        </w:rPr>
        <w:t>Fornecedor</w:t>
      </w:r>
      <w:r w:rsidRPr="004C7C51">
        <w:t xml:space="preserve">: Empresas do mercado que comercializam produtos e/ou serviços cuja </w:t>
      </w:r>
      <w:r>
        <w:t>CONEPP</w:t>
      </w:r>
      <w:r w:rsidRPr="004C7C51">
        <w:t xml:space="preserve"> tenha necessidade e/ou interesse de adquirir.</w:t>
      </w:r>
    </w:p>
    <w:p w14:paraId="47207B25" w14:textId="77777777" w:rsidR="00D82601" w:rsidRDefault="00D82601" w:rsidP="00B705E9">
      <w:r w:rsidRPr="00D73E0D">
        <w:rPr>
          <w:b/>
        </w:rPr>
        <w:t>Inspeção:</w:t>
      </w:r>
      <w:r>
        <w:t xml:space="preserve"> Avaliação da conformidade pela observação e julgamento, acompanhada, se necessário, de medições, ensaios ou comparação com padrões.</w:t>
      </w:r>
    </w:p>
    <w:p w14:paraId="442104B2" w14:textId="77777777" w:rsidR="00D82601" w:rsidRPr="00AF4970" w:rsidRDefault="00D82601" w:rsidP="004C7C51">
      <w:r w:rsidRPr="004C7C51">
        <w:rPr>
          <w:b/>
        </w:rPr>
        <w:t xml:space="preserve">Itens </w:t>
      </w:r>
      <w:r>
        <w:rPr>
          <w:b/>
        </w:rPr>
        <w:t>Críticos</w:t>
      </w:r>
      <w:r w:rsidRPr="004C7C51">
        <w:t xml:space="preserve">: Itens </w:t>
      </w:r>
      <w:r>
        <w:t>Críticos</w:t>
      </w:r>
      <w:r w:rsidRPr="004C7C51">
        <w:t xml:space="preserve"> são aqueles produtos ou serviços definidos pela empresa como itens críticos na atividade da </w:t>
      </w:r>
      <w:r w:rsidRPr="00AF4970">
        <w:t>organização. Para os itens críticos há um tratamento específico de compras, conforme item 6.4 desse procedimento.</w:t>
      </w:r>
    </w:p>
    <w:p w14:paraId="41BDFABA" w14:textId="77777777" w:rsidR="00D82601" w:rsidRDefault="00D82601" w:rsidP="00B705E9">
      <w:r w:rsidRPr="00D73E0D">
        <w:rPr>
          <w:b/>
        </w:rPr>
        <w:t>Melhoria Contínua:</w:t>
      </w:r>
      <w:r>
        <w:t xml:space="preserve"> Atividade recorrente para aumentar a capacidade de atender requisitos.</w:t>
      </w:r>
    </w:p>
    <w:p w14:paraId="5C364803" w14:textId="77777777" w:rsidR="00252C92" w:rsidRPr="00275F61" w:rsidRDefault="00252C92" w:rsidP="00252C92">
      <w:pPr>
        <w:pStyle w:val="Ttulo1"/>
        <w:rPr>
          <w:color w:val="000000" w:themeColor="text1"/>
        </w:rPr>
      </w:pPr>
      <w:r w:rsidRPr="00275F61">
        <w:rPr>
          <w:color w:val="000000" w:themeColor="text1"/>
        </w:rPr>
        <w:t>referências</w:t>
      </w:r>
    </w:p>
    <w:p w14:paraId="09E8AD98" w14:textId="4F171767" w:rsidR="00CF24F3" w:rsidRDefault="00805D16" w:rsidP="00092C14">
      <w:pPr>
        <w:pStyle w:val="PargrafodaLista"/>
        <w:numPr>
          <w:ilvl w:val="0"/>
          <w:numId w:val="3"/>
        </w:numPr>
        <w:rPr>
          <w:color w:val="000000" w:themeColor="text1"/>
        </w:rPr>
      </w:pPr>
      <w:r>
        <w:rPr>
          <w:color w:val="000000" w:themeColor="text1"/>
        </w:rPr>
        <w:t>CLT</w:t>
      </w:r>
      <w:r w:rsidR="003C7654">
        <w:rPr>
          <w:color w:val="000000" w:themeColor="text1"/>
        </w:rPr>
        <w:t>;</w:t>
      </w:r>
    </w:p>
    <w:p w14:paraId="12CF983F" w14:textId="43E9B351" w:rsidR="00964787" w:rsidRDefault="00964787" w:rsidP="00092C14">
      <w:pPr>
        <w:pStyle w:val="PargrafodaLista"/>
        <w:numPr>
          <w:ilvl w:val="0"/>
          <w:numId w:val="3"/>
        </w:numPr>
        <w:rPr>
          <w:color w:val="000000" w:themeColor="text1"/>
        </w:rPr>
      </w:pPr>
      <w:r>
        <w:rPr>
          <w:color w:val="000000" w:themeColor="text1"/>
        </w:rPr>
        <w:t>Currículos</w:t>
      </w:r>
      <w:r w:rsidR="003C7654">
        <w:rPr>
          <w:color w:val="000000" w:themeColor="text1"/>
        </w:rPr>
        <w:t>;</w:t>
      </w:r>
    </w:p>
    <w:p w14:paraId="21F3FE79" w14:textId="5B88843A" w:rsidR="00D901BF" w:rsidRDefault="003C7654" w:rsidP="00092C14">
      <w:pPr>
        <w:pStyle w:val="PargrafodaLista"/>
        <w:numPr>
          <w:ilvl w:val="0"/>
          <w:numId w:val="3"/>
        </w:numPr>
        <w:rPr>
          <w:color w:val="000000" w:themeColor="text1"/>
        </w:rPr>
      </w:pPr>
      <w:r>
        <w:rPr>
          <w:color w:val="000000" w:themeColor="text1"/>
        </w:rPr>
        <w:t>Atestados de Capacidade Técnica;</w:t>
      </w:r>
    </w:p>
    <w:p w14:paraId="28761E6F" w14:textId="4361F9CC" w:rsidR="00D901BF" w:rsidRDefault="00D901BF" w:rsidP="00092C14">
      <w:pPr>
        <w:pStyle w:val="PargrafodaLista"/>
        <w:numPr>
          <w:ilvl w:val="0"/>
          <w:numId w:val="3"/>
        </w:numPr>
        <w:rPr>
          <w:color w:val="000000" w:themeColor="text1"/>
        </w:rPr>
      </w:pPr>
      <w:r>
        <w:rPr>
          <w:color w:val="000000" w:themeColor="text1"/>
        </w:rPr>
        <w:t>Contrato Social</w:t>
      </w:r>
      <w:r w:rsidR="003C7654">
        <w:rPr>
          <w:color w:val="000000" w:themeColor="text1"/>
        </w:rPr>
        <w:t>;</w:t>
      </w:r>
    </w:p>
    <w:p w14:paraId="656F8C5F" w14:textId="6CFCDA14" w:rsidR="00D901BF" w:rsidRPr="00E16989" w:rsidRDefault="003C7654" w:rsidP="00092C14">
      <w:pPr>
        <w:pStyle w:val="PargrafodaLista"/>
        <w:numPr>
          <w:ilvl w:val="0"/>
          <w:numId w:val="3"/>
        </w:numPr>
        <w:rPr>
          <w:color w:val="000000" w:themeColor="text1"/>
        </w:rPr>
      </w:pPr>
      <w:r>
        <w:rPr>
          <w:color w:val="000000" w:themeColor="text1"/>
        </w:rPr>
        <w:t>Certificado de calibração;</w:t>
      </w:r>
    </w:p>
    <w:p w14:paraId="1E522F40" w14:textId="77777777" w:rsidR="002607C0" w:rsidRPr="00275F61" w:rsidRDefault="002607C0" w:rsidP="00252C92">
      <w:pPr>
        <w:pStyle w:val="Ttulo1"/>
        <w:rPr>
          <w:color w:val="000000" w:themeColor="text1"/>
        </w:rPr>
      </w:pPr>
      <w:r w:rsidRPr="00275F61">
        <w:rPr>
          <w:color w:val="000000" w:themeColor="text1"/>
        </w:rPr>
        <w:t>APLICAÇÃO</w:t>
      </w:r>
    </w:p>
    <w:p w14:paraId="7E8DF853" w14:textId="6DF2A143" w:rsidR="001B2AC7" w:rsidRPr="00D82601" w:rsidRDefault="004E4881" w:rsidP="000E3B1E">
      <w:pPr>
        <w:pStyle w:val="Default"/>
        <w:rPr>
          <w:color w:val="000000" w:themeColor="text1"/>
          <w:sz w:val="22"/>
          <w:szCs w:val="22"/>
        </w:rPr>
      </w:pPr>
      <w:r w:rsidRPr="00D82601">
        <w:rPr>
          <w:sz w:val="22"/>
          <w:szCs w:val="22"/>
        </w:rPr>
        <w:t>Todos os departamentos da CONEPP</w:t>
      </w:r>
      <w:r w:rsidR="00D901BF" w:rsidRPr="00D82601">
        <w:rPr>
          <w:color w:val="000000" w:themeColor="text1"/>
          <w:sz w:val="22"/>
          <w:szCs w:val="22"/>
        </w:rPr>
        <w:t>.</w:t>
      </w:r>
    </w:p>
    <w:p w14:paraId="6F9D461E" w14:textId="77777777" w:rsidR="00CF24F3" w:rsidRPr="00275F61" w:rsidRDefault="00CF24F3" w:rsidP="00635081">
      <w:pPr>
        <w:pStyle w:val="Default"/>
        <w:rPr>
          <w:color w:val="000000" w:themeColor="text1"/>
          <w:sz w:val="22"/>
          <w:szCs w:val="22"/>
        </w:rPr>
      </w:pPr>
    </w:p>
    <w:p w14:paraId="4FAAE0E5" w14:textId="77777777" w:rsidR="002607C0" w:rsidRPr="00C272B8" w:rsidRDefault="002607C0" w:rsidP="002607C0">
      <w:pPr>
        <w:pStyle w:val="Ttulo1"/>
        <w:tabs>
          <w:tab w:val="clear" w:pos="432"/>
        </w:tabs>
        <w:ind w:left="431" w:hanging="431"/>
        <w:rPr>
          <w:rFonts w:cs="Arial"/>
          <w:color w:val="000000" w:themeColor="text1"/>
        </w:rPr>
      </w:pPr>
      <w:r w:rsidRPr="00C272B8">
        <w:rPr>
          <w:rFonts w:cs="Arial"/>
          <w:color w:val="000000" w:themeColor="text1"/>
        </w:rPr>
        <w:lastRenderedPageBreak/>
        <w:t>RESPONSABILIDADES E AUTORIDADES</w:t>
      </w:r>
      <w:r w:rsidR="00252C92" w:rsidRPr="00C272B8">
        <w:rPr>
          <w:rFonts w:cs="Arial"/>
          <w:color w:val="000000" w:themeColor="text1"/>
        </w:rPr>
        <w:t xml:space="preserve"> </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40"/>
        <w:gridCol w:w="3699"/>
      </w:tblGrid>
      <w:tr w:rsidR="00275F61" w:rsidRPr="00275F61" w14:paraId="4B968DDF" w14:textId="77777777" w:rsidTr="00FE58D6">
        <w:trPr>
          <w:cantSplit/>
          <w:tblHeader/>
        </w:trPr>
        <w:tc>
          <w:tcPr>
            <w:tcW w:w="5940" w:type="dxa"/>
            <w:vAlign w:val="center"/>
          </w:tcPr>
          <w:p w14:paraId="6982887B" w14:textId="77777777" w:rsidR="002607C0" w:rsidRPr="00275F61" w:rsidRDefault="002607C0" w:rsidP="00FE58D6">
            <w:pPr>
              <w:keepNext/>
              <w:jc w:val="center"/>
              <w:rPr>
                <w:rFonts w:cs="Arial"/>
                <w:b/>
                <w:color w:val="000000" w:themeColor="text1"/>
              </w:rPr>
            </w:pPr>
            <w:r w:rsidRPr="00275F61">
              <w:rPr>
                <w:rFonts w:cs="Arial"/>
                <w:b/>
                <w:color w:val="000000" w:themeColor="text1"/>
              </w:rPr>
              <w:t>Atividades</w:t>
            </w:r>
          </w:p>
        </w:tc>
        <w:tc>
          <w:tcPr>
            <w:tcW w:w="3699" w:type="dxa"/>
            <w:vAlign w:val="center"/>
          </w:tcPr>
          <w:p w14:paraId="4FBAC7F9" w14:textId="77777777" w:rsidR="002607C0" w:rsidRPr="00275F61" w:rsidRDefault="002607C0" w:rsidP="00FE58D6">
            <w:pPr>
              <w:keepNext/>
              <w:jc w:val="center"/>
              <w:rPr>
                <w:rFonts w:cs="Arial"/>
                <w:b/>
                <w:color w:val="000000" w:themeColor="text1"/>
              </w:rPr>
            </w:pPr>
            <w:r w:rsidRPr="00275F61">
              <w:rPr>
                <w:rFonts w:cs="Arial"/>
                <w:b/>
                <w:color w:val="000000" w:themeColor="text1"/>
              </w:rPr>
              <w:t>Responsabilidade</w:t>
            </w:r>
          </w:p>
        </w:tc>
      </w:tr>
      <w:tr w:rsidR="00275F61" w:rsidRPr="00275F61" w14:paraId="532BA897" w14:textId="77777777" w:rsidTr="00FE58D6">
        <w:trPr>
          <w:cantSplit/>
        </w:trPr>
        <w:tc>
          <w:tcPr>
            <w:tcW w:w="5940" w:type="dxa"/>
            <w:vAlign w:val="center"/>
          </w:tcPr>
          <w:p w14:paraId="69CD8BDC" w14:textId="3594CD93" w:rsidR="000128CA" w:rsidRPr="00AF4970" w:rsidRDefault="007B2B71" w:rsidP="00D901BF">
            <w:pPr>
              <w:pStyle w:val="Rodap"/>
              <w:keepNext/>
              <w:tabs>
                <w:tab w:val="clear" w:pos="4419"/>
                <w:tab w:val="clear" w:pos="8838"/>
              </w:tabs>
              <w:rPr>
                <w:rFonts w:cs="Arial"/>
              </w:rPr>
            </w:pPr>
            <w:r w:rsidRPr="00AF4970">
              <w:rPr>
                <w:rFonts w:cs="Arial"/>
              </w:rPr>
              <w:t xml:space="preserve">Percepção da </w:t>
            </w:r>
            <w:r w:rsidR="00D901BF" w:rsidRPr="00AF4970">
              <w:rPr>
                <w:rFonts w:cs="Arial"/>
              </w:rPr>
              <w:t xml:space="preserve">necessidade </w:t>
            </w:r>
            <w:r w:rsidR="00AF4970">
              <w:rPr>
                <w:rFonts w:cs="Arial"/>
              </w:rPr>
              <w:t>da aquisição</w:t>
            </w:r>
          </w:p>
        </w:tc>
        <w:tc>
          <w:tcPr>
            <w:tcW w:w="3699" w:type="dxa"/>
            <w:vAlign w:val="center"/>
          </w:tcPr>
          <w:p w14:paraId="0D7B6DB0" w14:textId="1B0506C0" w:rsidR="000128CA" w:rsidRPr="00275F61" w:rsidRDefault="00CE2BE1" w:rsidP="001B2AC7">
            <w:pPr>
              <w:keepNext/>
              <w:rPr>
                <w:rFonts w:cs="Arial"/>
                <w:color w:val="000000" w:themeColor="text1"/>
              </w:rPr>
            </w:pPr>
            <w:r>
              <w:rPr>
                <w:rFonts w:cs="Arial"/>
                <w:color w:val="000000" w:themeColor="text1"/>
              </w:rPr>
              <w:t xml:space="preserve">Coordenadores das áreas </w:t>
            </w:r>
          </w:p>
        </w:tc>
      </w:tr>
      <w:tr w:rsidR="001B2AC7" w:rsidRPr="00275F61" w14:paraId="3FA9EBD3" w14:textId="77777777" w:rsidTr="00FE58D6">
        <w:trPr>
          <w:cantSplit/>
        </w:trPr>
        <w:tc>
          <w:tcPr>
            <w:tcW w:w="5940" w:type="dxa"/>
            <w:vAlign w:val="center"/>
          </w:tcPr>
          <w:p w14:paraId="2B018CCB" w14:textId="72D4CD66" w:rsidR="001B2AC7" w:rsidRPr="00AF4970" w:rsidRDefault="00CE2BE1" w:rsidP="00275F61">
            <w:pPr>
              <w:pStyle w:val="Rodap"/>
              <w:keepNext/>
              <w:tabs>
                <w:tab w:val="clear" w:pos="4419"/>
                <w:tab w:val="clear" w:pos="8838"/>
              </w:tabs>
              <w:rPr>
                <w:rFonts w:cs="Arial"/>
              </w:rPr>
            </w:pPr>
            <w:r w:rsidRPr="00AF4970">
              <w:rPr>
                <w:rFonts w:cs="Arial"/>
              </w:rPr>
              <w:t xml:space="preserve">Solicitação da </w:t>
            </w:r>
            <w:r w:rsidR="00AF4970">
              <w:rPr>
                <w:rFonts w:cs="Arial"/>
              </w:rPr>
              <w:t>aquisição</w:t>
            </w:r>
          </w:p>
        </w:tc>
        <w:tc>
          <w:tcPr>
            <w:tcW w:w="3699" w:type="dxa"/>
            <w:vAlign w:val="center"/>
          </w:tcPr>
          <w:p w14:paraId="75830D80" w14:textId="3C9F6A88" w:rsidR="001B2AC7" w:rsidRDefault="00AF4970" w:rsidP="001B2AC7">
            <w:pPr>
              <w:keepNext/>
              <w:rPr>
                <w:rFonts w:cs="Arial"/>
                <w:color w:val="000000" w:themeColor="text1"/>
              </w:rPr>
            </w:pPr>
            <w:r>
              <w:rPr>
                <w:rFonts w:cs="Arial"/>
                <w:color w:val="000000" w:themeColor="text1"/>
              </w:rPr>
              <w:t>Coordenadores das áreas</w:t>
            </w:r>
          </w:p>
        </w:tc>
      </w:tr>
      <w:tr w:rsidR="001B2AC7" w:rsidRPr="00275F61" w14:paraId="51B79874" w14:textId="77777777" w:rsidTr="00FE58D6">
        <w:trPr>
          <w:cantSplit/>
        </w:trPr>
        <w:tc>
          <w:tcPr>
            <w:tcW w:w="5940" w:type="dxa"/>
            <w:vAlign w:val="center"/>
          </w:tcPr>
          <w:p w14:paraId="2C03851B" w14:textId="20F74B73" w:rsidR="001B2AC7" w:rsidRPr="00AF4970" w:rsidRDefault="0074046A" w:rsidP="00275F61">
            <w:pPr>
              <w:pStyle w:val="Rodap"/>
              <w:keepNext/>
              <w:tabs>
                <w:tab w:val="clear" w:pos="4419"/>
                <w:tab w:val="clear" w:pos="8838"/>
              </w:tabs>
              <w:rPr>
                <w:rFonts w:cs="Arial"/>
              </w:rPr>
            </w:pPr>
            <w:r>
              <w:rPr>
                <w:rFonts w:cs="Arial"/>
              </w:rPr>
              <w:t>Avaliação e homologação de fornecedores</w:t>
            </w:r>
          </w:p>
        </w:tc>
        <w:tc>
          <w:tcPr>
            <w:tcW w:w="3699" w:type="dxa"/>
            <w:vAlign w:val="center"/>
          </w:tcPr>
          <w:p w14:paraId="1E161F33" w14:textId="15788775" w:rsidR="001B2AC7" w:rsidRDefault="0074046A" w:rsidP="00FC76C5">
            <w:pPr>
              <w:keepNext/>
              <w:rPr>
                <w:rFonts w:cs="Arial"/>
                <w:color w:val="000000" w:themeColor="text1"/>
              </w:rPr>
            </w:pPr>
            <w:r>
              <w:rPr>
                <w:rFonts w:cs="Arial"/>
                <w:color w:val="000000" w:themeColor="text1"/>
              </w:rPr>
              <w:t>Gerência Administrativa</w:t>
            </w:r>
          </w:p>
        </w:tc>
      </w:tr>
      <w:tr w:rsidR="00CE2BE1" w:rsidRPr="00275F61" w14:paraId="539A3DD3" w14:textId="77777777" w:rsidTr="00FE58D6">
        <w:trPr>
          <w:cantSplit/>
        </w:trPr>
        <w:tc>
          <w:tcPr>
            <w:tcW w:w="5940" w:type="dxa"/>
            <w:vAlign w:val="center"/>
          </w:tcPr>
          <w:p w14:paraId="6E3D50B0" w14:textId="4B33A84A" w:rsidR="00CE2BE1" w:rsidRPr="00AF4970" w:rsidRDefault="0074046A" w:rsidP="00D901BF">
            <w:pPr>
              <w:pStyle w:val="Rodap"/>
              <w:keepNext/>
              <w:tabs>
                <w:tab w:val="clear" w:pos="4419"/>
                <w:tab w:val="clear" w:pos="8838"/>
              </w:tabs>
              <w:rPr>
                <w:rFonts w:cs="Arial"/>
              </w:rPr>
            </w:pPr>
            <w:r>
              <w:rPr>
                <w:rFonts w:cs="Arial"/>
              </w:rPr>
              <w:t>Cotação</w:t>
            </w:r>
          </w:p>
        </w:tc>
        <w:tc>
          <w:tcPr>
            <w:tcW w:w="3699" w:type="dxa"/>
            <w:vAlign w:val="center"/>
          </w:tcPr>
          <w:p w14:paraId="414D754F" w14:textId="0448854C" w:rsidR="00CE2BE1" w:rsidRDefault="0074046A" w:rsidP="001B2AC7">
            <w:pPr>
              <w:keepNext/>
              <w:rPr>
                <w:rFonts w:cs="Arial"/>
                <w:color w:val="000000" w:themeColor="text1"/>
              </w:rPr>
            </w:pPr>
            <w:r>
              <w:rPr>
                <w:rFonts w:cs="Arial"/>
                <w:color w:val="000000" w:themeColor="text1"/>
              </w:rPr>
              <w:t>Gerência Administrativa</w:t>
            </w:r>
          </w:p>
        </w:tc>
      </w:tr>
      <w:tr w:rsidR="0074046A" w:rsidRPr="00275F61" w14:paraId="7606A293" w14:textId="77777777" w:rsidTr="00FE58D6">
        <w:trPr>
          <w:cantSplit/>
        </w:trPr>
        <w:tc>
          <w:tcPr>
            <w:tcW w:w="5940" w:type="dxa"/>
            <w:vAlign w:val="center"/>
          </w:tcPr>
          <w:p w14:paraId="054B07AC" w14:textId="44B509B8" w:rsidR="0074046A" w:rsidRPr="00AF4970" w:rsidRDefault="0074046A" w:rsidP="0074046A">
            <w:pPr>
              <w:pStyle w:val="Rodap"/>
              <w:keepNext/>
              <w:tabs>
                <w:tab w:val="clear" w:pos="4419"/>
                <w:tab w:val="clear" w:pos="8838"/>
              </w:tabs>
              <w:rPr>
                <w:rFonts w:cs="Arial"/>
              </w:rPr>
            </w:pPr>
            <w:r>
              <w:rPr>
                <w:rFonts w:cs="Arial"/>
              </w:rPr>
              <w:t>Aprovação da aquisição</w:t>
            </w:r>
          </w:p>
        </w:tc>
        <w:tc>
          <w:tcPr>
            <w:tcW w:w="3699" w:type="dxa"/>
            <w:vAlign w:val="center"/>
          </w:tcPr>
          <w:p w14:paraId="2A7217C5" w14:textId="70429E20" w:rsidR="0074046A" w:rsidRDefault="0074046A" w:rsidP="0074046A">
            <w:pPr>
              <w:keepNext/>
              <w:rPr>
                <w:rFonts w:cs="Arial"/>
                <w:color w:val="000000" w:themeColor="text1"/>
              </w:rPr>
            </w:pPr>
            <w:r>
              <w:rPr>
                <w:rFonts w:cs="Arial"/>
                <w:color w:val="000000" w:themeColor="text1"/>
              </w:rPr>
              <w:t>Diretoria</w:t>
            </w:r>
          </w:p>
        </w:tc>
      </w:tr>
      <w:tr w:rsidR="0074046A" w:rsidRPr="00275F61" w14:paraId="33D74CE0" w14:textId="77777777" w:rsidTr="00FE58D6">
        <w:trPr>
          <w:cantSplit/>
        </w:trPr>
        <w:tc>
          <w:tcPr>
            <w:tcW w:w="5940" w:type="dxa"/>
            <w:vAlign w:val="center"/>
          </w:tcPr>
          <w:p w14:paraId="434C0E13" w14:textId="11242427" w:rsidR="0074046A" w:rsidRPr="00AF4970" w:rsidRDefault="0074046A" w:rsidP="0074046A">
            <w:pPr>
              <w:pStyle w:val="Rodap"/>
              <w:keepNext/>
              <w:tabs>
                <w:tab w:val="clear" w:pos="4419"/>
                <w:tab w:val="clear" w:pos="8838"/>
              </w:tabs>
              <w:rPr>
                <w:rFonts w:cs="Arial"/>
              </w:rPr>
            </w:pPr>
            <w:r w:rsidRPr="00AF4970">
              <w:rPr>
                <w:rFonts w:cs="Arial"/>
              </w:rPr>
              <w:t>Contrato de prestação de serviço</w:t>
            </w:r>
            <w:r>
              <w:rPr>
                <w:rFonts w:cs="Arial"/>
              </w:rPr>
              <w:t>/Ordem de Compra</w:t>
            </w:r>
          </w:p>
        </w:tc>
        <w:tc>
          <w:tcPr>
            <w:tcW w:w="3699" w:type="dxa"/>
            <w:vAlign w:val="center"/>
          </w:tcPr>
          <w:p w14:paraId="57C4CC1D" w14:textId="7546B632" w:rsidR="0074046A" w:rsidRDefault="0074046A" w:rsidP="0074046A">
            <w:pPr>
              <w:keepNext/>
              <w:rPr>
                <w:rFonts w:cs="Arial"/>
                <w:color w:val="000000" w:themeColor="text1"/>
              </w:rPr>
            </w:pPr>
            <w:r>
              <w:rPr>
                <w:rFonts w:cs="Arial"/>
                <w:color w:val="000000" w:themeColor="text1"/>
              </w:rPr>
              <w:t>Gerência Administrativa</w:t>
            </w:r>
          </w:p>
        </w:tc>
      </w:tr>
      <w:tr w:rsidR="0074046A" w:rsidRPr="00275F61" w14:paraId="0366E5F2" w14:textId="77777777" w:rsidTr="00FE58D6">
        <w:trPr>
          <w:cantSplit/>
        </w:trPr>
        <w:tc>
          <w:tcPr>
            <w:tcW w:w="5940" w:type="dxa"/>
            <w:vAlign w:val="center"/>
          </w:tcPr>
          <w:p w14:paraId="730258F4" w14:textId="0753DA5C" w:rsidR="0074046A" w:rsidRPr="00AF4970" w:rsidRDefault="0074046A" w:rsidP="0074046A">
            <w:pPr>
              <w:pStyle w:val="Rodap"/>
              <w:keepNext/>
              <w:tabs>
                <w:tab w:val="clear" w:pos="4419"/>
                <w:tab w:val="clear" w:pos="8838"/>
              </w:tabs>
              <w:rPr>
                <w:rFonts w:cs="Arial"/>
              </w:rPr>
            </w:pPr>
            <w:r>
              <w:rPr>
                <w:rFonts w:cs="Arial"/>
              </w:rPr>
              <w:t>Recebimento e inspeção de itens ou serviços críticos</w:t>
            </w:r>
          </w:p>
        </w:tc>
        <w:tc>
          <w:tcPr>
            <w:tcW w:w="3699" w:type="dxa"/>
            <w:vAlign w:val="center"/>
          </w:tcPr>
          <w:p w14:paraId="3C1B6E65" w14:textId="557CE5DB" w:rsidR="0074046A" w:rsidRDefault="0074046A" w:rsidP="0074046A">
            <w:pPr>
              <w:keepNext/>
              <w:rPr>
                <w:rFonts w:cs="Arial"/>
                <w:color w:val="000000" w:themeColor="text1"/>
              </w:rPr>
            </w:pPr>
            <w:r>
              <w:rPr>
                <w:rFonts w:cs="Arial"/>
                <w:color w:val="000000" w:themeColor="text1"/>
              </w:rPr>
              <w:t>Gerência Administrativa</w:t>
            </w:r>
          </w:p>
        </w:tc>
      </w:tr>
      <w:tr w:rsidR="0074046A" w:rsidRPr="00275F61" w14:paraId="7FCDB5DC" w14:textId="77777777" w:rsidTr="00FE58D6">
        <w:trPr>
          <w:cantSplit/>
        </w:trPr>
        <w:tc>
          <w:tcPr>
            <w:tcW w:w="5940" w:type="dxa"/>
            <w:vAlign w:val="center"/>
          </w:tcPr>
          <w:p w14:paraId="3F2306D4" w14:textId="0464894D" w:rsidR="0074046A" w:rsidRDefault="0074046A" w:rsidP="0074046A">
            <w:pPr>
              <w:pStyle w:val="Rodap"/>
              <w:keepNext/>
              <w:tabs>
                <w:tab w:val="clear" w:pos="4419"/>
                <w:tab w:val="clear" w:pos="8838"/>
              </w:tabs>
              <w:rPr>
                <w:rFonts w:cs="Arial"/>
              </w:rPr>
            </w:pPr>
            <w:r>
              <w:rPr>
                <w:rFonts w:cs="Arial"/>
              </w:rPr>
              <w:t>Reavaliação de fornecedor críticos</w:t>
            </w:r>
          </w:p>
        </w:tc>
        <w:tc>
          <w:tcPr>
            <w:tcW w:w="3699" w:type="dxa"/>
            <w:vAlign w:val="center"/>
          </w:tcPr>
          <w:p w14:paraId="3DC9BFBE" w14:textId="4BD71FB9" w:rsidR="0074046A" w:rsidRDefault="0074046A" w:rsidP="0074046A">
            <w:pPr>
              <w:keepNext/>
              <w:rPr>
                <w:rFonts w:cs="Arial"/>
                <w:color w:val="000000" w:themeColor="text1"/>
              </w:rPr>
            </w:pPr>
            <w:r>
              <w:rPr>
                <w:rFonts w:cs="Arial"/>
                <w:color w:val="000000" w:themeColor="text1"/>
              </w:rPr>
              <w:t>Gerência Administrativa</w:t>
            </w:r>
          </w:p>
        </w:tc>
      </w:tr>
      <w:tr w:rsidR="0074046A" w:rsidRPr="00275F61" w14:paraId="33FAA144" w14:textId="77777777" w:rsidTr="00FE58D6">
        <w:trPr>
          <w:cantSplit/>
        </w:trPr>
        <w:tc>
          <w:tcPr>
            <w:tcW w:w="5940" w:type="dxa"/>
            <w:vAlign w:val="center"/>
          </w:tcPr>
          <w:p w14:paraId="6749C846" w14:textId="4E4816FC" w:rsidR="0074046A" w:rsidRDefault="0074046A" w:rsidP="0074046A">
            <w:pPr>
              <w:pStyle w:val="Rodap"/>
              <w:keepNext/>
              <w:tabs>
                <w:tab w:val="clear" w:pos="4419"/>
                <w:tab w:val="clear" w:pos="8838"/>
              </w:tabs>
              <w:rPr>
                <w:rFonts w:cs="Arial"/>
              </w:rPr>
            </w:pPr>
            <w:r>
              <w:rPr>
                <w:rFonts w:cs="Arial"/>
              </w:rPr>
              <w:t>Manutenção dos fornecedores críticos</w:t>
            </w:r>
          </w:p>
        </w:tc>
        <w:tc>
          <w:tcPr>
            <w:tcW w:w="3699" w:type="dxa"/>
            <w:vAlign w:val="center"/>
          </w:tcPr>
          <w:p w14:paraId="14950557" w14:textId="5272B255" w:rsidR="0074046A" w:rsidRDefault="0074046A" w:rsidP="0074046A">
            <w:pPr>
              <w:keepNext/>
              <w:rPr>
                <w:rFonts w:cs="Arial"/>
                <w:color w:val="000000" w:themeColor="text1"/>
              </w:rPr>
            </w:pPr>
            <w:r>
              <w:rPr>
                <w:rFonts w:cs="Arial"/>
                <w:color w:val="000000" w:themeColor="text1"/>
              </w:rPr>
              <w:t>Gerência Administrativa</w:t>
            </w:r>
          </w:p>
        </w:tc>
      </w:tr>
    </w:tbl>
    <w:p w14:paraId="51D5C208" w14:textId="77777777" w:rsidR="00D82601" w:rsidRPr="00D82601" w:rsidRDefault="00D82601" w:rsidP="00D82601">
      <w:pPr>
        <w:spacing w:before="120" w:after="120"/>
      </w:pPr>
    </w:p>
    <w:p w14:paraId="709A454A" w14:textId="25F562A3" w:rsidR="002607C0" w:rsidRPr="00275F61" w:rsidRDefault="002607C0" w:rsidP="002607C0">
      <w:pPr>
        <w:pStyle w:val="Ttulo1"/>
        <w:rPr>
          <w:color w:val="000000" w:themeColor="text1"/>
        </w:rPr>
      </w:pPr>
      <w:r w:rsidRPr="00275F61">
        <w:rPr>
          <w:color w:val="000000" w:themeColor="text1"/>
        </w:rPr>
        <w:t>DESCRIÇÃO DAS ATIVIDADES</w:t>
      </w:r>
    </w:p>
    <w:p w14:paraId="4ED0F3EA" w14:textId="7982C04F" w:rsidR="00AC7C58" w:rsidRDefault="00AC7C58" w:rsidP="004470CE">
      <w:pPr>
        <w:pStyle w:val="Ttulo2"/>
        <w:ind w:left="578" w:hanging="578"/>
        <w:rPr>
          <w:color w:val="000000" w:themeColor="text1"/>
        </w:rPr>
      </w:pPr>
      <w:r>
        <w:rPr>
          <w:color w:val="000000" w:themeColor="text1"/>
        </w:rPr>
        <w:t>Disposições Gerais</w:t>
      </w:r>
    </w:p>
    <w:p w14:paraId="54E401A0" w14:textId="45D8CC7B" w:rsidR="00AC7C58" w:rsidRDefault="00AC7C58" w:rsidP="00AC7C58">
      <w:pPr>
        <w:spacing w:before="120" w:after="120"/>
      </w:pPr>
      <w:r>
        <w:t>A Gerência Administrativa é responsável por todas as compras da empresa, pelos pagamentos de fornecedores, além do fornecimento e gerenciamento de recursos.</w:t>
      </w:r>
    </w:p>
    <w:p w14:paraId="4A1F3310" w14:textId="7046BAF5" w:rsidR="00AC7C58" w:rsidRDefault="00AC7C58" w:rsidP="00AC7C58">
      <w:pPr>
        <w:spacing w:before="120" w:after="120"/>
      </w:pPr>
      <w:r>
        <w:t>As compras de Suprimentos em geral serão centralizadas na Gerência Administra</w:t>
      </w:r>
      <w:r w:rsidR="00460DFF">
        <w:t>t</w:t>
      </w:r>
      <w:r>
        <w:t>i</w:t>
      </w:r>
      <w:r w:rsidR="00460DFF">
        <w:t>v</w:t>
      </w:r>
      <w:r>
        <w:t xml:space="preserve">a, que será </w:t>
      </w:r>
      <w:r w:rsidR="00280116">
        <w:t>a</w:t>
      </w:r>
      <w:r>
        <w:t xml:space="preserve"> responsável por todos os processos de cotação de preços e efetivação das compras da empresa.</w:t>
      </w:r>
    </w:p>
    <w:p w14:paraId="29F6C1C8" w14:textId="1ED239A4" w:rsidR="00AC7C58" w:rsidRDefault="00AC7C58" w:rsidP="00AC7C58">
      <w:pPr>
        <w:spacing w:before="120" w:after="120"/>
      </w:pPr>
      <w:r>
        <w:t xml:space="preserve">A modalidade de contratação de compras adotada pela </w:t>
      </w:r>
      <w:r w:rsidR="00280116">
        <w:t>CONNEP</w:t>
      </w:r>
      <w:r>
        <w:t xml:space="preserve"> é a tomada de preços.</w:t>
      </w:r>
    </w:p>
    <w:p w14:paraId="7A74EEBE" w14:textId="1BDC321B" w:rsidR="00AC7C58" w:rsidRPr="00954471" w:rsidRDefault="00AC7C58" w:rsidP="00AC7C58">
      <w:pPr>
        <w:spacing w:before="120" w:after="120"/>
      </w:pPr>
      <w:r>
        <w:t>Nenhum outro departamento está autorizado a realizar compras de materiais</w:t>
      </w:r>
      <w:r w:rsidR="00280116">
        <w:t xml:space="preserve"> ou serviços</w:t>
      </w:r>
      <w:r>
        <w:t xml:space="preserve">, salvo </w:t>
      </w:r>
      <w:r w:rsidRPr="00954471">
        <w:t>quand</w:t>
      </w:r>
      <w:r w:rsidR="00280116" w:rsidRPr="00954471">
        <w:t xml:space="preserve">o expressamente autorizado pela </w:t>
      </w:r>
      <w:r w:rsidRPr="00954471">
        <w:t xml:space="preserve">Diretoria. </w:t>
      </w:r>
    </w:p>
    <w:p w14:paraId="72F7EE19" w14:textId="16E19D89" w:rsidR="00AC7C58" w:rsidRPr="00954471" w:rsidRDefault="00AC7C58" w:rsidP="00AC7C58">
      <w:pPr>
        <w:spacing w:before="120" w:after="120"/>
      </w:pPr>
      <w:r w:rsidRPr="00954471">
        <w:t xml:space="preserve">Todo e qualquer pedido de aquisição / cotação deverá ser realizado / solicitado através </w:t>
      </w:r>
      <w:r w:rsidR="00286397" w:rsidRPr="00954471">
        <w:t xml:space="preserve">de </w:t>
      </w:r>
      <w:r w:rsidR="00286397" w:rsidRPr="007560E0">
        <w:t xml:space="preserve">formulário, conforme especificado em </w:t>
      </w:r>
      <w:r w:rsidR="00954471" w:rsidRPr="007560E0">
        <w:rPr>
          <w:b/>
          <w:i/>
        </w:rPr>
        <w:t>FO.</w:t>
      </w:r>
      <w:r w:rsidR="00C34EC0" w:rsidRPr="007560E0">
        <w:rPr>
          <w:b/>
          <w:i/>
        </w:rPr>
        <w:t>0</w:t>
      </w:r>
      <w:r w:rsidR="00147ECC" w:rsidRPr="007560E0">
        <w:rPr>
          <w:b/>
          <w:i/>
        </w:rPr>
        <w:t>20</w:t>
      </w:r>
      <w:r w:rsidR="00954471" w:rsidRPr="007560E0">
        <w:rPr>
          <w:b/>
          <w:i/>
        </w:rPr>
        <w:t xml:space="preserve"> - Requisição, compra e recebimento de produtos e serviços</w:t>
      </w:r>
      <w:r w:rsidRPr="007560E0">
        <w:t>.</w:t>
      </w:r>
      <w:r w:rsidRPr="00954471">
        <w:t xml:space="preserve"> </w:t>
      </w:r>
    </w:p>
    <w:p w14:paraId="2C7637AF" w14:textId="77777777" w:rsidR="00AC7C58" w:rsidRDefault="00AC7C58" w:rsidP="00AC7C58">
      <w:pPr>
        <w:spacing w:before="120" w:after="120"/>
      </w:pPr>
      <w:r>
        <w:t>As compras em geral deverão ser efetuadas de forma planejada, visando alcançar economicidade, eficiência e eficácia na gestão de recursos orçamentários, financeiros e materiais.</w:t>
      </w:r>
    </w:p>
    <w:p w14:paraId="4E42FF21" w14:textId="1D94B44D" w:rsidR="00AC7C58" w:rsidRDefault="00AC7C58" w:rsidP="00AC7C58">
      <w:pPr>
        <w:spacing w:before="120" w:after="120"/>
      </w:pPr>
      <w:r>
        <w:t>Todos os pedidos d</w:t>
      </w:r>
      <w:r w:rsidR="00286397">
        <w:t>e compras serão apreciados pela Gerência Administrativa, que verificará</w:t>
      </w:r>
      <w:r>
        <w:t xml:space="preserve"> no controle de materiais em estoque se existem os materiais solicitados, nas quantidades e unidades requeridas.</w:t>
      </w:r>
    </w:p>
    <w:p w14:paraId="7B42648F" w14:textId="00C0D62F" w:rsidR="00AC7C58" w:rsidRDefault="00AC7C58" w:rsidP="00AC7C58">
      <w:pPr>
        <w:spacing w:before="120" w:after="120"/>
      </w:pPr>
      <w:r>
        <w:t>Toda aquisição de bens ou serviços deverão ser observados nos dados gerais do pedido quanto à:</w:t>
      </w:r>
    </w:p>
    <w:p w14:paraId="794D6A61" w14:textId="7D84E2AF" w:rsidR="00AC7C58" w:rsidRDefault="00FA38C6" w:rsidP="00286397">
      <w:pPr>
        <w:pStyle w:val="PargrafodaLista"/>
        <w:numPr>
          <w:ilvl w:val="0"/>
          <w:numId w:val="10"/>
        </w:numPr>
        <w:spacing w:before="120" w:after="120"/>
      </w:pPr>
      <w:r>
        <w:t>E</w:t>
      </w:r>
      <w:r w:rsidR="00AC7C58">
        <w:t>ste custo foi orçado na elaboração da proposta?</w:t>
      </w:r>
    </w:p>
    <w:p w14:paraId="29F6F9D6" w14:textId="606A2ECB" w:rsidR="00AC7C58" w:rsidRDefault="00AC7C58" w:rsidP="00286397">
      <w:pPr>
        <w:pStyle w:val="PargrafodaLista"/>
        <w:numPr>
          <w:ilvl w:val="0"/>
          <w:numId w:val="10"/>
        </w:numPr>
        <w:spacing w:before="120" w:after="120"/>
      </w:pPr>
      <w:r>
        <w:t>Caso negativo</w:t>
      </w:r>
      <w:r w:rsidR="0031392A">
        <w:t>,</w:t>
      </w:r>
      <w:r>
        <w:t xml:space="preserve"> há margem para este custo adicional?</w:t>
      </w:r>
    </w:p>
    <w:p w14:paraId="2818842C" w14:textId="6AC95193" w:rsidR="00AC7C58" w:rsidRDefault="00AC7C58" w:rsidP="0031392A">
      <w:r>
        <w:t xml:space="preserve">Além disso, </w:t>
      </w:r>
      <w:r w:rsidR="0031392A">
        <w:t>a Gerência Administrativa</w:t>
      </w:r>
      <w:r>
        <w:t xml:space="preserve"> deverá </w:t>
      </w:r>
      <w:r w:rsidRPr="00BA0FFF">
        <w:t xml:space="preserve">verificar se o item solicitado trata-se de </w:t>
      </w:r>
      <w:r w:rsidRPr="00BA0FFF">
        <w:rPr>
          <w:b/>
        </w:rPr>
        <w:t>item controlado</w:t>
      </w:r>
      <w:r w:rsidRPr="00BA0FFF">
        <w:t xml:space="preserve"> pela empresa, que tem um tratamento diferenciado conforme item 6</w:t>
      </w:r>
      <w:r w:rsidR="00BA0FFF" w:rsidRPr="00BA0FFF">
        <w:t>.4</w:t>
      </w:r>
      <w:r w:rsidRPr="00BA0FFF">
        <w:t xml:space="preserve"> </w:t>
      </w:r>
      <w:r w:rsidR="00BA0FFF">
        <w:t>deste procedimento</w:t>
      </w:r>
      <w:r w:rsidRPr="00BA0FFF">
        <w:t>.</w:t>
      </w:r>
    </w:p>
    <w:p w14:paraId="3AB72071" w14:textId="77777777" w:rsidR="00954471" w:rsidRPr="00AC7C58" w:rsidRDefault="00954471" w:rsidP="0031392A"/>
    <w:p w14:paraId="7D33D66A" w14:textId="31AA613C" w:rsidR="004470CE" w:rsidRPr="00275F61" w:rsidRDefault="00D901BF" w:rsidP="004470CE">
      <w:pPr>
        <w:pStyle w:val="Ttulo2"/>
        <w:ind w:left="578" w:hanging="578"/>
        <w:rPr>
          <w:color w:val="000000" w:themeColor="text1"/>
        </w:rPr>
      </w:pPr>
      <w:r>
        <w:rPr>
          <w:color w:val="000000" w:themeColor="text1"/>
        </w:rPr>
        <w:lastRenderedPageBreak/>
        <w:t>Ident</w:t>
      </w:r>
      <w:r w:rsidR="00C272B8">
        <w:rPr>
          <w:color w:val="000000" w:themeColor="text1"/>
        </w:rPr>
        <w:t xml:space="preserve">ificar a necessidade </w:t>
      </w:r>
      <w:r w:rsidR="00D46D6E">
        <w:rPr>
          <w:color w:val="000000" w:themeColor="text1"/>
        </w:rPr>
        <w:t>da compra</w:t>
      </w:r>
    </w:p>
    <w:p w14:paraId="2A795018" w14:textId="783795AF" w:rsidR="00D46D6E" w:rsidRPr="009B680B" w:rsidRDefault="00D46D6E" w:rsidP="00D46D6E">
      <w:r w:rsidRPr="00D46D6E">
        <w:rPr>
          <w:color w:val="000000" w:themeColor="text1"/>
        </w:rPr>
        <w:t xml:space="preserve">Todo e qualquer pedido de aquisição (produto ou serviço) deve ser solicitado através </w:t>
      </w:r>
      <w:r>
        <w:rPr>
          <w:color w:val="000000" w:themeColor="text1"/>
        </w:rPr>
        <w:t xml:space="preserve">do formulário </w:t>
      </w:r>
      <w:r w:rsidR="00137DBB" w:rsidRPr="007560E0">
        <w:rPr>
          <w:color w:val="000000" w:themeColor="text1"/>
        </w:rPr>
        <w:t>“</w:t>
      </w:r>
      <w:r w:rsidR="009B680B" w:rsidRPr="007560E0">
        <w:rPr>
          <w:b/>
          <w:i/>
        </w:rPr>
        <w:t>FO.</w:t>
      </w:r>
      <w:r w:rsidR="00C34EC0" w:rsidRPr="007560E0">
        <w:rPr>
          <w:b/>
          <w:i/>
        </w:rPr>
        <w:t>0</w:t>
      </w:r>
      <w:r w:rsidR="00147ECC" w:rsidRPr="007560E0">
        <w:rPr>
          <w:b/>
          <w:i/>
        </w:rPr>
        <w:t>20</w:t>
      </w:r>
      <w:r w:rsidR="009B680B" w:rsidRPr="007560E0">
        <w:rPr>
          <w:b/>
          <w:i/>
        </w:rPr>
        <w:t xml:space="preserve"> - Requisição, compra e recebimento de produtos e serviços</w:t>
      </w:r>
      <w:r w:rsidR="00137DBB" w:rsidRPr="007560E0">
        <w:t>”</w:t>
      </w:r>
      <w:r w:rsidR="00F13D99" w:rsidRPr="007560E0">
        <w:t xml:space="preserve">, enviado </w:t>
      </w:r>
      <w:r w:rsidR="00C65681" w:rsidRPr="007560E0">
        <w:t>para</w:t>
      </w:r>
      <w:r w:rsidR="00F13D99" w:rsidRPr="007560E0">
        <w:t xml:space="preserve"> e-mail</w:t>
      </w:r>
      <w:r w:rsidR="00F13D99" w:rsidRPr="00137DBB">
        <w:t xml:space="preserve"> direcionado à Gerência Administrativa.</w:t>
      </w:r>
    </w:p>
    <w:p w14:paraId="0B02833C" w14:textId="2B102EC4" w:rsidR="00D46D6E" w:rsidRPr="00D46D6E" w:rsidRDefault="00D46D6E" w:rsidP="00D46D6E">
      <w:pPr>
        <w:rPr>
          <w:color w:val="000000" w:themeColor="text1"/>
        </w:rPr>
      </w:pPr>
      <w:r w:rsidRPr="00D46D6E">
        <w:rPr>
          <w:color w:val="000000" w:themeColor="text1"/>
        </w:rPr>
        <w:t>Todo e qualquer pedido de aquisição (produto ou serviço) que é crítico (</w:t>
      </w:r>
      <w:r w:rsidRPr="00F13D99">
        <w:rPr>
          <w:b/>
          <w:color w:val="000000" w:themeColor="text1"/>
        </w:rPr>
        <w:t>item controlado</w:t>
      </w:r>
      <w:r w:rsidRPr="00D46D6E">
        <w:rPr>
          <w:color w:val="000000" w:themeColor="text1"/>
        </w:rPr>
        <w:t>) deve ser solicitado de acordo com o item 6</w:t>
      </w:r>
      <w:r w:rsidR="00954471">
        <w:rPr>
          <w:color w:val="000000" w:themeColor="text1"/>
        </w:rPr>
        <w:t>.4</w:t>
      </w:r>
      <w:r w:rsidRPr="00D46D6E">
        <w:rPr>
          <w:color w:val="000000" w:themeColor="text1"/>
        </w:rPr>
        <w:t xml:space="preserve"> desse procedimento. </w:t>
      </w:r>
    </w:p>
    <w:p w14:paraId="695B5B2A" w14:textId="77777777" w:rsidR="00D46D6E" w:rsidRPr="00D46D6E" w:rsidRDefault="00D46D6E" w:rsidP="00D46D6E">
      <w:pPr>
        <w:rPr>
          <w:color w:val="000000" w:themeColor="text1"/>
        </w:rPr>
      </w:pPr>
      <w:r w:rsidRPr="00D46D6E">
        <w:rPr>
          <w:color w:val="000000" w:themeColor="text1"/>
        </w:rPr>
        <w:t>Quanto à geração e processamento, as respectivas áreas solicitantes devem:</w:t>
      </w:r>
    </w:p>
    <w:p w14:paraId="70C5525D" w14:textId="4DE19820" w:rsidR="00D46D6E" w:rsidRPr="00F13D99" w:rsidRDefault="00D46D6E" w:rsidP="00B33C29">
      <w:pPr>
        <w:pStyle w:val="PargrafodaLista"/>
        <w:numPr>
          <w:ilvl w:val="0"/>
          <w:numId w:val="11"/>
        </w:numPr>
        <w:rPr>
          <w:color w:val="000000" w:themeColor="text1"/>
        </w:rPr>
      </w:pPr>
      <w:r w:rsidRPr="00F13D99">
        <w:rPr>
          <w:color w:val="000000" w:themeColor="text1"/>
        </w:rPr>
        <w:t xml:space="preserve">Atentar para o preenchimento completo de todos os campos do </w:t>
      </w:r>
      <w:r w:rsidR="00696AA9">
        <w:rPr>
          <w:color w:val="000000" w:themeColor="text1"/>
        </w:rPr>
        <w:t>formulário</w:t>
      </w:r>
      <w:r w:rsidRPr="00F13D99">
        <w:rPr>
          <w:color w:val="000000" w:themeColor="text1"/>
        </w:rPr>
        <w:t xml:space="preserve">, de forma objetiva, com todas as especificações técnicas, </w:t>
      </w:r>
      <w:r w:rsidR="00B33C29">
        <w:rPr>
          <w:color w:val="000000" w:themeColor="text1"/>
        </w:rPr>
        <w:t>descrevendo</w:t>
      </w:r>
      <w:r w:rsidR="00B33C29" w:rsidRPr="00B33C29">
        <w:rPr>
          <w:color w:val="000000" w:themeColor="text1"/>
        </w:rPr>
        <w:t xml:space="preserve"> os serviços a serem executados e o perfil do fornecedor, sendo da área técnica, administ</w:t>
      </w:r>
      <w:r w:rsidR="00B33C29">
        <w:rPr>
          <w:color w:val="000000" w:themeColor="text1"/>
        </w:rPr>
        <w:t>rativa, financeira ou comercial, previamente aprovado pela Diretoria;</w:t>
      </w:r>
    </w:p>
    <w:p w14:paraId="5CF5C081" w14:textId="524E05DD" w:rsidR="00D46D6E" w:rsidRPr="00F13D99" w:rsidRDefault="00D46D6E" w:rsidP="00F13D99">
      <w:pPr>
        <w:pStyle w:val="PargrafodaLista"/>
        <w:numPr>
          <w:ilvl w:val="0"/>
          <w:numId w:val="11"/>
        </w:numPr>
        <w:rPr>
          <w:color w:val="000000" w:themeColor="text1"/>
        </w:rPr>
      </w:pPr>
      <w:r w:rsidRPr="00F13D99">
        <w:rPr>
          <w:color w:val="000000" w:themeColor="text1"/>
        </w:rPr>
        <w:t>Dar especial atenção para que materiais correlatos sejam englobados numa só requisição; (colocar junto famílias de materiais);</w:t>
      </w:r>
    </w:p>
    <w:p w14:paraId="47A41349" w14:textId="502C1FF5" w:rsidR="00D46D6E" w:rsidRDefault="00D46D6E" w:rsidP="00F13D99">
      <w:pPr>
        <w:pStyle w:val="PargrafodaLista"/>
        <w:numPr>
          <w:ilvl w:val="0"/>
          <w:numId w:val="11"/>
        </w:numPr>
        <w:rPr>
          <w:color w:val="000000" w:themeColor="text1"/>
        </w:rPr>
      </w:pPr>
      <w:r w:rsidRPr="00F13D99">
        <w:rPr>
          <w:color w:val="000000" w:themeColor="text1"/>
        </w:rPr>
        <w:t xml:space="preserve">Planejar a requisição dentro de um prazo adequado para atendimento </w:t>
      </w:r>
      <w:r w:rsidR="000E7595">
        <w:rPr>
          <w:color w:val="000000" w:themeColor="text1"/>
        </w:rPr>
        <w:t>da Requisição de Compra</w:t>
      </w:r>
      <w:r w:rsidRPr="00F13D99">
        <w:rPr>
          <w:color w:val="000000" w:themeColor="text1"/>
        </w:rPr>
        <w:t xml:space="preserve"> em tempo hábil.</w:t>
      </w:r>
    </w:p>
    <w:p w14:paraId="3E0566C5" w14:textId="20B6541C" w:rsidR="00C65681" w:rsidRPr="00C65681" w:rsidRDefault="00C65681" w:rsidP="00C65681">
      <w:pPr>
        <w:pStyle w:val="PargrafodaLista"/>
        <w:numPr>
          <w:ilvl w:val="0"/>
          <w:numId w:val="11"/>
        </w:numPr>
        <w:spacing w:before="120" w:after="120"/>
        <w:rPr>
          <w:color w:val="000000" w:themeColor="text1"/>
        </w:rPr>
      </w:pPr>
      <w:r>
        <w:rPr>
          <w:color w:val="000000" w:themeColor="text1"/>
        </w:rPr>
        <w:t>Se atentar para o</w:t>
      </w:r>
      <w:r w:rsidRPr="00C65681">
        <w:rPr>
          <w:color w:val="000000" w:themeColor="text1"/>
        </w:rPr>
        <w:t>s materiais sujeitos à deterioração ou obsoletismo</w:t>
      </w:r>
      <w:r>
        <w:rPr>
          <w:color w:val="000000" w:themeColor="text1"/>
        </w:rPr>
        <w:t>, que</w:t>
      </w:r>
      <w:r w:rsidRPr="00C65681">
        <w:rPr>
          <w:color w:val="000000" w:themeColor="text1"/>
        </w:rPr>
        <w:t xml:space="preserve"> devem ser adquiridos em quantidades suficientes à plena utilização antes da perda de sua utilidade, adotando-se, para tanto, critério</w:t>
      </w:r>
      <w:r>
        <w:rPr>
          <w:color w:val="000000" w:themeColor="text1"/>
        </w:rPr>
        <w:t>s adequados à sua quantificação;</w:t>
      </w:r>
    </w:p>
    <w:p w14:paraId="1B92CE8E" w14:textId="77777777" w:rsidR="00550172" w:rsidRDefault="00C65681" w:rsidP="00550172">
      <w:pPr>
        <w:pStyle w:val="PargrafodaLista"/>
        <w:numPr>
          <w:ilvl w:val="0"/>
          <w:numId w:val="11"/>
        </w:numPr>
        <w:rPr>
          <w:color w:val="000000" w:themeColor="text1"/>
        </w:rPr>
      </w:pPr>
      <w:r>
        <w:rPr>
          <w:color w:val="000000" w:themeColor="text1"/>
        </w:rPr>
        <w:t>Se atentar para</w:t>
      </w:r>
      <w:r w:rsidRPr="00C65681">
        <w:rPr>
          <w:color w:val="000000" w:themeColor="text1"/>
        </w:rPr>
        <w:t xml:space="preserve"> não se proceder à aquisição de equipamento e material permanente em quantidade superior à da pronta destinação e utilização por parte das unidades requisitantes, exceto aqueles destinados à reserva técnica, para substituição imediata nos casos de manutenção e para acomodação de novos servidores ou implantação de novas unidades, evitando-se, dessa forma, a existência, de “estoque” e, por via de consequência, o obsoletismo, e a imobilização de recursos orçamentários e financeiros;</w:t>
      </w:r>
    </w:p>
    <w:p w14:paraId="0A09842F" w14:textId="08C0FBFA" w:rsidR="00C65681" w:rsidRDefault="00550172" w:rsidP="00450519">
      <w:pPr>
        <w:pStyle w:val="PargrafodaLista"/>
        <w:numPr>
          <w:ilvl w:val="0"/>
          <w:numId w:val="11"/>
        </w:numPr>
        <w:rPr>
          <w:color w:val="000000" w:themeColor="text1"/>
        </w:rPr>
      </w:pPr>
      <w:r>
        <w:rPr>
          <w:color w:val="000000" w:themeColor="text1"/>
        </w:rPr>
        <w:t>Para m</w:t>
      </w:r>
      <w:r w:rsidRPr="00550172">
        <w:rPr>
          <w:color w:val="000000" w:themeColor="text1"/>
        </w:rPr>
        <w:t>ateriais</w:t>
      </w:r>
      <w:r>
        <w:rPr>
          <w:color w:val="000000" w:themeColor="text1"/>
        </w:rPr>
        <w:t xml:space="preserve"> e serviços</w:t>
      </w:r>
      <w:r w:rsidRPr="00550172">
        <w:rPr>
          <w:color w:val="000000" w:themeColor="text1"/>
        </w:rPr>
        <w:t xml:space="preserve"> a serem adquiridos sem estarem orçados nas propostas e sem reembolso do cliente necessitarão de análise prévia e aprovação da Diretoria, </w:t>
      </w:r>
      <w:r w:rsidR="001C469C" w:rsidRPr="00550172">
        <w:rPr>
          <w:color w:val="000000" w:themeColor="text1"/>
        </w:rPr>
        <w:t>independentemente</w:t>
      </w:r>
      <w:r w:rsidRPr="00550172">
        <w:rPr>
          <w:color w:val="000000" w:themeColor="text1"/>
        </w:rPr>
        <w:t xml:space="preserve"> do valor da </w:t>
      </w:r>
      <w:r w:rsidR="001103DA">
        <w:rPr>
          <w:color w:val="000000" w:themeColor="text1"/>
        </w:rPr>
        <w:t>compra</w:t>
      </w:r>
      <w:r w:rsidR="00E538D9">
        <w:rPr>
          <w:color w:val="000000" w:themeColor="text1"/>
        </w:rPr>
        <w:t>.</w:t>
      </w:r>
    </w:p>
    <w:p w14:paraId="0E6B923E" w14:textId="77777777" w:rsidR="00450519" w:rsidRPr="00450519" w:rsidRDefault="00450519" w:rsidP="00450519">
      <w:pPr>
        <w:pStyle w:val="PargrafodaLista"/>
        <w:rPr>
          <w:color w:val="000000" w:themeColor="text1"/>
        </w:rPr>
      </w:pPr>
    </w:p>
    <w:p w14:paraId="0A68A9DD" w14:textId="6CA7B26D" w:rsidR="00386500" w:rsidRDefault="00B33C29" w:rsidP="00386500">
      <w:pPr>
        <w:pStyle w:val="Ttulo2"/>
        <w:ind w:left="578" w:hanging="578"/>
        <w:rPr>
          <w:color w:val="000000" w:themeColor="text1"/>
        </w:rPr>
      </w:pPr>
      <w:r>
        <w:rPr>
          <w:color w:val="000000" w:themeColor="text1"/>
        </w:rPr>
        <w:t>Análise e atendimento à Requisição de Compra</w:t>
      </w:r>
      <w:r w:rsidR="003404EC">
        <w:rPr>
          <w:color w:val="000000" w:themeColor="text1"/>
        </w:rPr>
        <w:t xml:space="preserve"> – itens não </w:t>
      </w:r>
      <w:r w:rsidR="00E47ACD">
        <w:rPr>
          <w:color w:val="000000" w:themeColor="text1"/>
        </w:rPr>
        <w:t>críticos</w:t>
      </w:r>
    </w:p>
    <w:p w14:paraId="71A45FC2" w14:textId="5D8E851B" w:rsidR="00A1306E" w:rsidRDefault="0017060D" w:rsidP="00056E43">
      <w:pPr>
        <w:spacing w:before="120" w:after="120"/>
      </w:pPr>
      <w:r w:rsidRPr="007560E0">
        <w:t>Uma vez recebida</w:t>
      </w:r>
      <w:r w:rsidR="00955FF9" w:rsidRPr="007560E0">
        <w:t xml:space="preserve"> a Requisição de Compra, a Gerência Administrativa procederá com as cotações de preços, que </w:t>
      </w:r>
      <w:r w:rsidR="00A1306E" w:rsidRPr="007560E0">
        <w:t>deverão ser formalizadas no “</w:t>
      </w:r>
      <w:r w:rsidR="00163B25" w:rsidRPr="007560E0">
        <w:rPr>
          <w:b/>
          <w:i/>
        </w:rPr>
        <w:t>FO.</w:t>
      </w:r>
      <w:r w:rsidR="00C34EC0" w:rsidRPr="007560E0">
        <w:rPr>
          <w:b/>
          <w:i/>
        </w:rPr>
        <w:t>0</w:t>
      </w:r>
      <w:r w:rsidR="00147ECC" w:rsidRPr="007560E0">
        <w:rPr>
          <w:b/>
          <w:i/>
        </w:rPr>
        <w:t>20</w:t>
      </w:r>
      <w:r w:rsidR="00163B25" w:rsidRPr="007560E0">
        <w:rPr>
          <w:b/>
          <w:i/>
        </w:rPr>
        <w:t xml:space="preserve"> - Requisição, compra e recebimento de produtos e serviços</w:t>
      </w:r>
      <w:r w:rsidR="00A1306E" w:rsidRPr="007560E0">
        <w:t>”, e deverão abranger, no mínimo, três fornecedores, exceto:</w:t>
      </w:r>
    </w:p>
    <w:p w14:paraId="49FA8C3D" w14:textId="77777777" w:rsidR="00A1306E" w:rsidRDefault="00A1306E" w:rsidP="00056E43">
      <w:pPr>
        <w:pStyle w:val="PargrafodaLista"/>
        <w:numPr>
          <w:ilvl w:val="0"/>
          <w:numId w:val="12"/>
        </w:numPr>
        <w:spacing w:before="120" w:after="120"/>
      </w:pPr>
      <w:r>
        <w:t>Quando se tratar de fornecedor exclusivo.</w:t>
      </w:r>
    </w:p>
    <w:p w14:paraId="38424A24" w14:textId="77777777" w:rsidR="00A1306E" w:rsidRDefault="00A1306E" w:rsidP="00056E43">
      <w:pPr>
        <w:pStyle w:val="PargrafodaLista"/>
        <w:numPr>
          <w:ilvl w:val="0"/>
          <w:numId w:val="12"/>
        </w:numPr>
        <w:spacing w:before="120" w:after="120"/>
      </w:pPr>
      <w:r>
        <w:t>Quando se tratar de compras abaixo de R$ 500,00.</w:t>
      </w:r>
    </w:p>
    <w:p w14:paraId="7503D375" w14:textId="77777777" w:rsidR="00A1306E" w:rsidRDefault="00A1306E" w:rsidP="00056E43">
      <w:pPr>
        <w:pStyle w:val="PargrafodaLista"/>
        <w:numPr>
          <w:ilvl w:val="0"/>
          <w:numId w:val="12"/>
        </w:numPr>
        <w:spacing w:before="120" w:after="120"/>
      </w:pPr>
      <w:r>
        <w:t>Quando não houver outros fornecedores disponíveis na região.</w:t>
      </w:r>
    </w:p>
    <w:p w14:paraId="1E7EB5C3" w14:textId="64E72922" w:rsidR="00A1306E" w:rsidRDefault="00056E43" w:rsidP="00056E43">
      <w:pPr>
        <w:pStyle w:val="PargrafodaLista"/>
        <w:numPr>
          <w:ilvl w:val="0"/>
          <w:numId w:val="12"/>
        </w:numPr>
        <w:spacing w:before="120" w:after="120"/>
      </w:pPr>
      <w:r>
        <w:t>Q</w:t>
      </w:r>
      <w:r w:rsidR="00A1306E">
        <w:t>uando houver uma urgência no processo, desde que tenha aprovação da Diretoria para a não realização das 3 (três) cotações.</w:t>
      </w:r>
    </w:p>
    <w:p w14:paraId="3A08B324" w14:textId="77777777" w:rsidR="00A1306E" w:rsidRDefault="00A1306E" w:rsidP="00056E43">
      <w:pPr>
        <w:spacing w:before="120" w:after="120"/>
      </w:pPr>
      <w:r>
        <w:t>Sempre que possível, as compras deverão ser efetuadas para uma quantidade maior de itens, a fim de possibilitar a obtenção de condições mais favoráveis na sua aquisição, desde que não implique em imobilização desnecessária de materiais de consumo.</w:t>
      </w:r>
    </w:p>
    <w:p w14:paraId="7ACD4CCF" w14:textId="6796565C" w:rsidR="00A1306E" w:rsidRDefault="00A1306E" w:rsidP="00056E43">
      <w:pPr>
        <w:spacing w:before="120" w:after="120"/>
      </w:pPr>
      <w:r>
        <w:t xml:space="preserve">Caso seja solicitado um mesmo item dentro do período de 30 dias, poderá ser utilizado o mesmo mapa de cotação feito na compra anterior. Bastará </w:t>
      </w:r>
      <w:r w:rsidR="002420B1">
        <w:t xml:space="preserve">a Gerência Administrativa </w:t>
      </w:r>
      <w:r>
        <w:t>verificar com o último fornecedor ganhador se as condições feitas na última aquisição permanecem as mesmas.</w:t>
      </w:r>
    </w:p>
    <w:p w14:paraId="3041FF7A" w14:textId="1576F592" w:rsidR="00A1306E" w:rsidRDefault="00A1306E" w:rsidP="00056E43">
      <w:pPr>
        <w:spacing w:before="120" w:after="120"/>
      </w:pPr>
      <w:r>
        <w:t xml:space="preserve">Todas as compras deverão possuir análise e aprovação prévia </w:t>
      </w:r>
      <w:r w:rsidR="00A3419C">
        <w:t>da</w:t>
      </w:r>
      <w:r>
        <w:t xml:space="preserve"> Diretoria. Aquisições de bens patrimoniais, investimentos e materiais de consumo extraordinário deverão, obrigatoriamente, possuir o conhecimento e a aprovação prévia da Diretoria responsável pela solicitação.</w:t>
      </w:r>
    </w:p>
    <w:p w14:paraId="6EF2C395" w14:textId="53C1F0C6" w:rsidR="00A1306E" w:rsidRPr="007560E0" w:rsidRDefault="00A1306E" w:rsidP="00056E43">
      <w:pPr>
        <w:spacing w:before="120" w:after="120"/>
      </w:pPr>
      <w:r>
        <w:t xml:space="preserve">Após obter a resposta dos fornecedores cotados e efetuadas as negociações comerciais, o responsável pela cotação escolherá </w:t>
      </w:r>
      <w:proofErr w:type="gramStart"/>
      <w:r>
        <w:t>o(</w:t>
      </w:r>
      <w:proofErr w:type="gramEnd"/>
      <w:r>
        <w:t xml:space="preserve">s) fornecedor(es) que apresentou(ram) as melhores </w:t>
      </w:r>
      <w:r w:rsidRPr="007560E0">
        <w:lastRenderedPageBreak/>
        <w:t>condições de preço, pagamento, qualidade e prazo de entrega, conforme informado no formulário “</w:t>
      </w:r>
      <w:r w:rsidR="00163B25" w:rsidRPr="007560E0">
        <w:rPr>
          <w:b/>
          <w:i/>
        </w:rPr>
        <w:t>FO.</w:t>
      </w:r>
      <w:r w:rsidR="00C34EC0" w:rsidRPr="007560E0">
        <w:rPr>
          <w:b/>
          <w:i/>
        </w:rPr>
        <w:t>0</w:t>
      </w:r>
      <w:r w:rsidR="00147ECC" w:rsidRPr="007560E0">
        <w:rPr>
          <w:b/>
          <w:i/>
        </w:rPr>
        <w:t>20</w:t>
      </w:r>
      <w:r w:rsidR="00163B25" w:rsidRPr="007560E0">
        <w:rPr>
          <w:b/>
          <w:i/>
        </w:rPr>
        <w:t xml:space="preserve"> - Requisição, compra e recebimento de produtos e serviços</w:t>
      </w:r>
      <w:r w:rsidRPr="007560E0">
        <w:t>”.</w:t>
      </w:r>
    </w:p>
    <w:p w14:paraId="1EBD33B7" w14:textId="4711AA02" w:rsidR="009670F0" w:rsidRDefault="00A1306E" w:rsidP="00056E43">
      <w:pPr>
        <w:spacing w:before="120" w:after="120"/>
      </w:pPr>
      <w:r w:rsidRPr="007560E0">
        <w:t>A solicitação de compras ao fornecedor será feita através de “</w:t>
      </w:r>
      <w:r w:rsidR="000E54B3" w:rsidRPr="007560E0">
        <w:rPr>
          <w:b/>
          <w:i/>
        </w:rPr>
        <w:t>FO.</w:t>
      </w:r>
      <w:r w:rsidR="00C34EC0" w:rsidRPr="007560E0">
        <w:rPr>
          <w:b/>
          <w:i/>
        </w:rPr>
        <w:t>0</w:t>
      </w:r>
      <w:r w:rsidR="00147ECC" w:rsidRPr="007560E0">
        <w:rPr>
          <w:b/>
          <w:i/>
        </w:rPr>
        <w:t>21</w:t>
      </w:r>
      <w:r w:rsidR="000E54B3" w:rsidRPr="007560E0">
        <w:rPr>
          <w:b/>
          <w:i/>
        </w:rPr>
        <w:t xml:space="preserve"> - </w:t>
      </w:r>
      <w:r w:rsidRPr="007560E0">
        <w:rPr>
          <w:b/>
          <w:i/>
        </w:rPr>
        <w:t>Ordem de Compra</w:t>
      </w:r>
      <w:r w:rsidR="00094E51" w:rsidRPr="007560E0">
        <w:t>”</w:t>
      </w:r>
      <w:r w:rsidRPr="007560E0">
        <w:t>. Os preços informados na “Ordem de Compra” serão os mesmos de acordo com a negociação final com o fornecedor para compra.</w:t>
      </w:r>
      <w:r>
        <w:t xml:space="preserve"> </w:t>
      </w:r>
    </w:p>
    <w:p w14:paraId="0A88833D" w14:textId="79ADEE5A" w:rsidR="00BE12C5" w:rsidRDefault="00BE12C5" w:rsidP="00BE12C5">
      <w:pPr>
        <w:spacing w:before="120" w:after="120"/>
      </w:pPr>
      <w:r>
        <w:t>Para todos os casos que haja a necessidade de emissão de um contrato de prestação de serviço, a Gerência Administrativa recebe o contrato do fornecedor e envia o mesmo via e-mail para análise da área Jurídica da empresa, que deverá informar se houve ou não ressalvas. Caso não haja ressalvas, este deverá ser encaminhado para assinatura da Diretoria.</w:t>
      </w:r>
    </w:p>
    <w:p w14:paraId="1CE35B11" w14:textId="7B470C68" w:rsidR="00BE12C5" w:rsidRDefault="00BE12C5" w:rsidP="00BE12C5">
      <w:pPr>
        <w:spacing w:before="120" w:after="120"/>
      </w:pPr>
      <w:r>
        <w:t>Quando houver ressalvas, a Gerência Administrativa fará contato com o fornecedor para negociar as alterações no contrato. Se as mesmas forem aceitas e alteradas, a Gerência Administrativa envia o contrato alterado para assinatura da Diretoria. Caso algumas ou todas as ressalvas não sejam alteradas pelo fornecedor, a Gerência Administrativa sinalizará para a Diretoria, cabendo a esta a tomada de decisão de assinar ou não o contrato.</w:t>
      </w:r>
    </w:p>
    <w:p w14:paraId="333063D4" w14:textId="67BB2560" w:rsidR="003404EC" w:rsidRDefault="003404EC" w:rsidP="00056E43">
      <w:pPr>
        <w:spacing w:before="120" w:after="120"/>
      </w:pPr>
      <w:r>
        <w:t>A Gerência Administrativa deverá acompanhar o andamento da Ordem de Compra e tomar as devidas ações para assegurar o recebimento e o correto uso/aplicação do produto/serviço pelos seus usu</w:t>
      </w:r>
      <w:r w:rsidR="00CD098E">
        <w:t>ários.</w:t>
      </w:r>
    </w:p>
    <w:p w14:paraId="4AB3DBE2" w14:textId="38BD5BAE" w:rsidR="00CD098E" w:rsidRDefault="00CD098E" w:rsidP="00CD098E">
      <w:pPr>
        <w:pStyle w:val="Ttulo2"/>
        <w:ind w:left="578" w:hanging="578"/>
        <w:rPr>
          <w:color w:val="000000" w:themeColor="text1"/>
        </w:rPr>
      </w:pPr>
      <w:r>
        <w:rPr>
          <w:color w:val="000000" w:themeColor="text1"/>
        </w:rPr>
        <w:t xml:space="preserve">Análise e atendimento à Requisição de Compra – itens </w:t>
      </w:r>
      <w:r w:rsidR="00E47ACD">
        <w:rPr>
          <w:color w:val="000000" w:themeColor="text1"/>
        </w:rPr>
        <w:t>críticos</w:t>
      </w:r>
    </w:p>
    <w:p w14:paraId="3DF0BAC0" w14:textId="7B706515" w:rsidR="00BF3834" w:rsidRDefault="00BF3834" w:rsidP="00BF3834">
      <w:r>
        <w:t xml:space="preserve">Para os itens </w:t>
      </w:r>
      <w:r w:rsidR="00E47ACD">
        <w:t>críticos</w:t>
      </w:r>
      <w:r>
        <w:t>, a empresa adota uma política de aquisição específica, tendo em vista a importância e relevância desses produtos e serviços na atividade da organização.</w:t>
      </w:r>
    </w:p>
    <w:p w14:paraId="40A6AB77" w14:textId="35AF7651" w:rsidR="00CD098E" w:rsidRDefault="00BF3834" w:rsidP="00BF3834">
      <w:r w:rsidRPr="008C1B1B">
        <w:t xml:space="preserve">A relação de produtos e serviços </w:t>
      </w:r>
      <w:r w:rsidR="00E47ACD" w:rsidRPr="008C1B1B">
        <w:t>críticos</w:t>
      </w:r>
      <w:r w:rsidRPr="008C1B1B">
        <w:t xml:space="preserve"> definidos pela CONEPP está relacionada no formulário </w:t>
      </w:r>
      <w:r w:rsidR="004C7B68" w:rsidRPr="007560E0">
        <w:rPr>
          <w:b/>
          <w:i/>
        </w:rPr>
        <w:t>FO.</w:t>
      </w:r>
      <w:r w:rsidR="00C34EC0" w:rsidRPr="007560E0">
        <w:rPr>
          <w:b/>
          <w:i/>
        </w:rPr>
        <w:t>0</w:t>
      </w:r>
      <w:r w:rsidR="00147ECC" w:rsidRPr="007560E0">
        <w:rPr>
          <w:b/>
          <w:i/>
        </w:rPr>
        <w:t>22</w:t>
      </w:r>
      <w:r w:rsidR="004C7B68" w:rsidRPr="007560E0">
        <w:rPr>
          <w:b/>
          <w:i/>
        </w:rPr>
        <w:t xml:space="preserve"> –</w:t>
      </w:r>
      <w:r w:rsidR="00C34EC0" w:rsidRPr="007560E0">
        <w:rPr>
          <w:b/>
          <w:i/>
        </w:rPr>
        <w:t xml:space="preserve"> </w:t>
      </w:r>
      <w:r w:rsidR="004C7B68" w:rsidRPr="007560E0">
        <w:rPr>
          <w:b/>
          <w:i/>
        </w:rPr>
        <w:t>Gestão de Fornecedores Críticos</w:t>
      </w:r>
      <w:r w:rsidR="00E11ED2" w:rsidRPr="007560E0">
        <w:t>.</w:t>
      </w:r>
    </w:p>
    <w:p w14:paraId="19C96735" w14:textId="7502290F" w:rsidR="008E34A1" w:rsidRDefault="008E34A1" w:rsidP="00AB589C">
      <w:pPr>
        <w:spacing w:before="120" w:after="120"/>
      </w:pPr>
    </w:p>
    <w:p w14:paraId="6EEE23C0" w14:textId="785D16FC" w:rsidR="008E34A1" w:rsidRPr="008E34A1" w:rsidRDefault="007D6845" w:rsidP="00AB589C">
      <w:pPr>
        <w:spacing w:before="120" w:after="120"/>
        <w:rPr>
          <w:b/>
        </w:rPr>
      </w:pPr>
      <w:r>
        <w:rPr>
          <w:b/>
        </w:rPr>
        <w:t xml:space="preserve">6.4.1. </w:t>
      </w:r>
      <w:r w:rsidR="008E34A1" w:rsidRPr="008E34A1">
        <w:rPr>
          <w:b/>
        </w:rPr>
        <w:t>Avaliação e Seleção de Fornecedores Críticos</w:t>
      </w:r>
    </w:p>
    <w:p w14:paraId="02EF6196" w14:textId="0009221B" w:rsidR="004C7B68" w:rsidRDefault="00F6091B" w:rsidP="00AB589C">
      <w:pPr>
        <w:spacing w:before="120" w:after="120"/>
      </w:pPr>
      <w:r>
        <w:t>Para os itens críticos, existe a necessidade de avaliação</w:t>
      </w:r>
      <w:r w:rsidR="00E62DDF">
        <w:t xml:space="preserve"> prévia dos fornecedores no momento da cotação de preços e condições, antes de proceder com a seleção para a compra</w:t>
      </w:r>
      <w:r w:rsidR="004C7B68">
        <w:t>.</w:t>
      </w:r>
    </w:p>
    <w:p w14:paraId="53A5C64A" w14:textId="1A916DBB" w:rsidR="00BE3FFF" w:rsidRDefault="004C7B68" w:rsidP="00AB589C">
      <w:pPr>
        <w:spacing w:before="120" w:after="120"/>
      </w:pPr>
      <w:r w:rsidRPr="007560E0">
        <w:t xml:space="preserve">Esta avaliação será baseada na solicitação de evidências de atendimento aos critérios estabelecidos no formulário </w:t>
      </w:r>
      <w:r w:rsidR="00B362D1" w:rsidRPr="007560E0">
        <w:rPr>
          <w:b/>
          <w:i/>
        </w:rPr>
        <w:t>FO.</w:t>
      </w:r>
      <w:r w:rsidR="004C7EF0" w:rsidRPr="007560E0">
        <w:rPr>
          <w:b/>
          <w:i/>
        </w:rPr>
        <w:t>0</w:t>
      </w:r>
      <w:r w:rsidR="00147ECC" w:rsidRPr="007560E0">
        <w:rPr>
          <w:b/>
          <w:i/>
        </w:rPr>
        <w:t>22</w:t>
      </w:r>
      <w:r w:rsidR="00B362D1" w:rsidRPr="007560E0">
        <w:rPr>
          <w:b/>
          <w:i/>
        </w:rPr>
        <w:t xml:space="preserve"> –</w:t>
      </w:r>
      <w:r w:rsidR="00CA3D46" w:rsidRPr="007560E0">
        <w:rPr>
          <w:b/>
          <w:i/>
        </w:rPr>
        <w:t xml:space="preserve"> </w:t>
      </w:r>
      <w:r w:rsidR="00B362D1" w:rsidRPr="007560E0">
        <w:rPr>
          <w:b/>
          <w:i/>
        </w:rPr>
        <w:t>Gestão de Fornecedores Críticos</w:t>
      </w:r>
      <w:r w:rsidRPr="007560E0">
        <w:t>, o qual apresenta o mapeamento de documentos/registros considerados como essenciais para demonstrar a sua capacidade de nos atender de forma satisfatória.</w:t>
      </w:r>
      <w:r w:rsidR="00BE3FFF" w:rsidRPr="007560E0">
        <w:t xml:space="preserve"> Os fornecedores que </w:t>
      </w:r>
      <w:r w:rsidR="00EC3BE0" w:rsidRPr="007560E0">
        <w:t>demonstrarem</w:t>
      </w:r>
      <w:r w:rsidR="00BE3FFF" w:rsidRPr="007560E0">
        <w:t xml:space="preserve"> o atendimento aos requisitos pré-definidos serão considerados como homologados para </w:t>
      </w:r>
      <w:r w:rsidR="00241741" w:rsidRPr="007560E0">
        <w:t>fornecimento, deve</w:t>
      </w:r>
      <w:r w:rsidR="008C50D2" w:rsidRPr="007560E0">
        <w:t>ndo ser cadastrados na planilha de Gestão de Fornecedores Críticos. A documentação comprobatória de homologação deverá ser arquivada na rede interna da Gerência Administrativa.</w:t>
      </w:r>
      <w:r w:rsidR="008C50D2">
        <w:t xml:space="preserve"> </w:t>
      </w:r>
    </w:p>
    <w:p w14:paraId="59483617" w14:textId="0293418F" w:rsidR="00EC3BE0" w:rsidRDefault="00733DAF" w:rsidP="00AB589C">
      <w:pPr>
        <w:spacing w:before="120" w:after="120"/>
      </w:pPr>
      <w:r>
        <w:t>Uma vez homologados</w:t>
      </w:r>
      <w:r w:rsidR="00FB7F25">
        <w:t xml:space="preserve"> e diante de uma cotação de preços</w:t>
      </w:r>
      <w:r>
        <w:t>, os fornecedores estarão aptos ao fornecimento para a CONEPP, podendo ser considerado</w:t>
      </w:r>
      <w:r w:rsidR="00FB7F25">
        <w:t>s</w:t>
      </w:r>
      <w:r>
        <w:t xml:space="preserve"> como critérios de seleção (não se limitando a):</w:t>
      </w:r>
    </w:p>
    <w:p w14:paraId="62822A48" w14:textId="2594C7B6" w:rsidR="00733DAF" w:rsidRPr="001E55EE" w:rsidRDefault="00F63EBA" w:rsidP="00AB589C">
      <w:pPr>
        <w:pStyle w:val="PargrafodaLista"/>
        <w:numPr>
          <w:ilvl w:val="0"/>
          <w:numId w:val="14"/>
        </w:numPr>
        <w:spacing w:before="120" w:after="120"/>
      </w:pPr>
      <w:r w:rsidRPr="001E55EE">
        <w:t>Histórico de f</w:t>
      </w:r>
      <w:r w:rsidR="00733DAF" w:rsidRPr="001E55EE">
        <w:t>ornecimento</w:t>
      </w:r>
      <w:r w:rsidRPr="001E55EE">
        <w:t xml:space="preserve"> e qualidade</w:t>
      </w:r>
      <w:r w:rsidR="00D82601">
        <w:t>;</w:t>
      </w:r>
    </w:p>
    <w:p w14:paraId="288F800F" w14:textId="05C4EC6F" w:rsidR="00C223D6" w:rsidRPr="001E55EE" w:rsidRDefault="00C223D6" w:rsidP="00AB589C">
      <w:pPr>
        <w:pStyle w:val="PargrafodaLista"/>
        <w:numPr>
          <w:ilvl w:val="0"/>
          <w:numId w:val="14"/>
        </w:numPr>
        <w:spacing w:before="120" w:after="120"/>
      </w:pPr>
      <w:r w:rsidRPr="001E55EE">
        <w:t>Indicação</w:t>
      </w:r>
      <w:r w:rsidR="00D82601">
        <w:t>;</w:t>
      </w:r>
    </w:p>
    <w:p w14:paraId="12FD9D46" w14:textId="12D465DF" w:rsidR="00733DAF" w:rsidRPr="001E55EE" w:rsidRDefault="00D82601" w:rsidP="00AB589C">
      <w:pPr>
        <w:pStyle w:val="PargrafodaLista"/>
        <w:numPr>
          <w:ilvl w:val="0"/>
          <w:numId w:val="14"/>
        </w:numPr>
        <w:spacing w:before="120" w:after="120"/>
      </w:pPr>
      <w:r>
        <w:t>Preço;</w:t>
      </w:r>
    </w:p>
    <w:p w14:paraId="4FE20D77" w14:textId="1B98C3A5" w:rsidR="00733DAF" w:rsidRPr="001E55EE" w:rsidRDefault="00733DAF" w:rsidP="00AB589C">
      <w:pPr>
        <w:pStyle w:val="PargrafodaLista"/>
        <w:numPr>
          <w:ilvl w:val="0"/>
          <w:numId w:val="14"/>
        </w:numPr>
        <w:spacing w:before="120" w:after="120"/>
      </w:pPr>
      <w:r w:rsidRPr="001E55EE">
        <w:t>Prazo</w:t>
      </w:r>
      <w:r w:rsidR="00D82601">
        <w:t>;</w:t>
      </w:r>
    </w:p>
    <w:p w14:paraId="4FDC7BF3" w14:textId="21F59335" w:rsidR="00733DAF" w:rsidRPr="001E55EE" w:rsidRDefault="00733DAF" w:rsidP="00AB589C">
      <w:pPr>
        <w:pStyle w:val="PargrafodaLista"/>
        <w:numPr>
          <w:ilvl w:val="0"/>
          <w:numId w:val="14"/>
        </w:numPr>
        <w:spacing w:before="120" w:after="120"/>
      </w:pPr>
      <w:r w:rsidRPr="001E55EE">
        <w:t>Fornecedor exclusivo</w:t>
      </w:r>
      <w:r w:rsidR="00D82601">
        <w:t>;</w:t>
      </w:r>
    </w:p>
    <w:p w14:paraId="672FD559" w14:textId="73999482" w:rsidR="00733DAF" w:rsidRPr="001E55EE" w:rsidRDefault="00733DAF" w:rsidP="00AB589C">
      <w:pPr>
        <w:pStyle w:val="PargrafodaLista"/>
        <w:numPr>
          <w:ilvl w:val="0"/>
          <w:numId w:val="14"/>
        </w:numPr>
        <w:spacing w:before="120" w:after="120"/>
      </w:pPr>
      <w:r w:rsidRPr="001E55EE">
        <w:t>Certificação ISO 9001</w:t>
      </w:r>
      <w:r w:rsidR="00D82601">
        <w:t>.</w:t>
      </w:r>
    </w:p>
    <w:p w14:paraId="75265936" w14:textId="716C59A6" w:rsidR="00AB589C" w:rsidRDefault="00AB589C" w:rsidP="00AB589C">
      <w:pPr>
        <w:spacing w:before="120" w:after="120"/>
      </w:pPr>
    </w:p>
    <w:p w14:paraId="64B82552" w14:textId="0B2C1ECE" w:rsidR="00D82601" w:rsidRDefault="00D82601" w:rsidP="00AB589C">
      <w:pPr>
        <w:spacing w:before="120" w:after="120"/>
      </w:pPr>
    </w:p>
    <w:p w14:paraId="36A672B1" w14:textId="5D8613FD" w:rsidR="00D82601" w:rsidRDefault="00D82601" w:rsidP="00AB589C">
      <w:pPr>
        <w:spacing w:before="120" w:after="120"/>
      </w:pPr>
    </w:p>
    <w:p w14:paraId="7BB9A8F3" w14:textId="77777777" w:rsidR="00D82601" w:rsidRDefault="00D82601" w:rsidP="00AB589C">
      <w:pPr>
        <w:spacing w:before="120" w:after="120"/>
      </w:pPr>
    </w:p>
    <w:p w14:paraId="063BF0FF" w14:textId="5E786BF4" w:rsidR="00FB7F25" w:rsidRPr="007F7D4F" w:rsidRDefault="007D6845" w:rsidP="00AB589C">
      <w:pPr>
        <w:spacing w:before="120" w:after="120"/>
        <w:rPr>
          <w:b/>
        </w:rPr>
      </w:pPr>
      <w:r>
        <w:rPr>
          <w:b/>
        </w:rPr>
        <w:lastRenderedPageBreak/>
        <w:t xml:space="preserve">6.4.2. </w:t>
      </w:r>
      <w:r w:rsidR="007F7D4F" w:rsidRPr="007F7D4F">
        <w:rPr>
          <w:b/>
        </w:rPr>
        <w:t>Cotaç</w:t>
      </w:r>
      <w:r w:rsidR="00996962">
        <w:rPr>
          <w:b/>
        </w:rPr>
        <w:t>ão,</w:t>
      </w:r>
      <w:r w:rsidR="007F7D4F" w:rsidRPr="007F7D4F">
        <w:rPr>
          <w:b/>
        </w:rPr>
        <w:t xml:space="preserve"> compra</w:t>
      </w:r>
      <w:r w:rsidR="00996962">
        <w:rPr>
          <w:b/>
        </w:rPr>
        <w:t xml:space="preserve"> e recebimento de </w:t>
      </w:r>
      <w:r w:rsidR="00996962" w:rsidRPr="00EB735B">
        <w:rPr>
          <w:b/>
        </w:rPr>
        <w:t>produtos e serviços críticos</w:t>
      </w:r>
    </w:p>
    <w:p w14:paraId="4FA9FB94" w14:textId="7F8D11AB" w:rsidR="004C7B68" w:rsidRDefault="00AB589C" w:rsidP="00AB589C">
      <w:pPr>
        <w:spacing w:before="120" w:after="120"/>
      </w:pPr>
      <w:r>
        <w:t>O processo de solicitação, cotação e compra de produtos/serviços críticos seguirá as mesmas condições descritas em 6.</w:t>
      </w:r>
      <w:r w:rsidR="004D275D">
        <w:t>4, salvo observa</w:t>
      </w:r>
      <w:r>
        <w:t>do os critérios para cotação somente com fornecedores homologados previamente e seleç</w:t>
      </w:r>
      <w:r w:rsidR="00C91DB2">
        <w:t>ão com base em critérios específicos, citados acima.</w:t>
      </w:r>
    </w:p>
    <w:p w14:paraId="1832DD1D" w14:textId="61EC003A" w:rsidR="008E34A1" w:rsidRDefault="00996962" w:rsidP="00996962">
      <w:pPr>
        <w:spacing w:before="120" w:after="120"/>
      </w:pPr>
      <w:r>
        <w:t>O recebimento de produtos e serviços críticos deverá seguir os critérios estabelecidos no formulário “Gestão de Fornecedores Críticos”, considerando também as ações necessárias em caso de inconformidades de produto ou serviço.</w:t>
      </w:r>
    </w:p>
    <w:p w14:paraId="35D18F42" w14:textId="0F215614" w:rsidR="001221A7" w:rsidRDefault="001221A7" w:rsidP="00996962">
      <w:pPr>
        <w:spacing w:before="120" w:after="120"/>
      </w:pPr>
    </w:p>
    <w:p w14:paraId="0CEFFF48" w14:textId="721955A2" w:rsidR="001221A7" w:rsidRPr="0001076E" w:rsidRDefault="007D6845" w:rsidP="00996962">
      <w:pPr>
        <w:spacing w:before="120" w:after="120"/>
        <w:rPr>
          <w:b/>
        </w:rPr>
      </w:pPr>
      <w:r>
        <w:rPr>
          <w:b/>
        </w:rPr>
        <w:t xml:space="preserve">6.4.3. </w:t>
      </w:r>
      <w:r w:rsidR="00FA7E3B">
        <w:rPr>
          <w:b/>
        </w:rPr>
        <w:t>Reavaliação de fornecedores críticos</w:t>
      </w:r>
    </w:p>
    <w:p w14:paraId="6D0AD8C9" w14:textId="2E144DFB" w:rsidR="00F06247" w:rsidRDefault="00FA7E3B" w:rsidP="00996962">
      <w:pPr>
        <w:spacing w:before="120" w:after="120"/>
      </w:pPr>
      <w:r>
        <w:t xml:space="preserve">De acordo com os critérios estabelecidos na planilha </w:t>
      </w:r>
      <w:r w:rsidR="009B680B">
        <w:t>“</w:t>
      </w:r>
      <w:r>
        <w:t>Gestão de Fornecedores Críticos</w:t>
      </w:r>
      <w:r w:rsidR="009B680B">
        <w:t>”</w:t>
      </w:r>
      <w:r>
        <w:t>, a CONEPP reavaliará seus fornecedores a intervalos planejados, mantendo informação documentada sobr</w:t>
      </w:r>
      <w:r w:rsidR="00870569">
        <w:t>e o monitoramento de seu desempenho para prover melhorias no processo de compras da organização.</w:t>
      </w:r>
    </w:p>
    <w:p w14:paraId="7C98D5F3" w14:textId="5C074AC8" w:rsidR="00870569" w:rsidRPr="007560E0" w:rsidRDefault="00870569" w:rsidP="00996962">
      <w:pPr>
        <w:spacing w:before="120" w:after="120"/>
      </w:pPr>
      <w:r>
        <w:t xml:space="preserve">Os </w:t>
      </w:r>
      <w:r w:rsidRPr="003C6A71">
        <w:t xml:space="preserve">registros de monitoramento e reavaliação de fornecedores serão mantidos por meio do </w:t>
      </w:r>
      <w:r w:rsidRPr="007560E0">
        <w:t>formulário “</w:t>
      </w:r>
      <w:r w:rsidRPr="007560E0">
        <w:rPr>
          <w:b/>
          <w:i/>
        </w:rPr>
        <w:t>FO.</w:t>
      </w:r>
      <w:r w:rsidR="004C7EF0" w:rsidRPr="007560E0">
        <w:rPr>
          <w:b/>
          <w:i/>
        </w:rPr>
        <w:t>0</w:t>
      </w:r>
      <w:r w:rsidR="00147ECC" w:rsidRPr="007560E0">
        <w:rPr>
          <w:b/>
          <w:i/>
        </w:rPr>
        <w:t>23</w:t>
      </w:r>
      <w:r w:rsidRPr="007560E0">
        <w:rPr>
          <w:b/>
          <w:i/>
        </w:rPr>
        <w:t xml:space="preserve"> </w:t>
      </w:r>
      <w:r w:rsidR="004C7EF0" w:rsidRPr="007560E0">
        <w:rPr>
          <w:b/>
          <w:i/>
        </w:rPr>
        <w:t>–</w:t>
      </w:r>
      <w:r w:rsidRPr="007560E0">
        <w:rPr>
          <w:b/>
          <w:i/>
        </w:rPr>
        <w:t xml:space="preserve"> Desempenho</w:t>
      </w:r>
      <w:r w:rsidR="004C7EF0" w:rsidRPr="007560E0">
        <w:rPr>
          <w:b/>
          <w:i/>
        </w:rPr>
        <w:t xml:space="preserve"> </w:t>
      </w:r>
      <w:r w:rsidRPr="007560E0">
        <w:rPr>
          <w:b/>
          <w:i/>
        </w:rPr>
        <w:t>de Fornecedores</w:t>
      </w:r>
      <w:r w:rsidRPr="007560E0">
        <w:t>”.</w:t>
      </w:r>
    </w:p>
    <w:p w14:paraId="685A1ACA" w14:textId="221BFFF5" w:rsidR="00D82601" w:rsidRPr="007560E0" w:rsidRDefault="00D82601" w:rsidP="00996962">
      <w:pPr>
        <w:spacing w:before="120" w:after="120"/>
      </w:pPr>
    </w:p>
    <w:p w14:paraId="2737125A" w14:textId="710F148B" w:rsidR="004C7EF0" w:rsidRPr="007560E0" w:rsidRDefault="004C7EF0" w:rsidP="004C7EF0">
      <w:pPr>
        <w:pStyle w:val="Ttulo2"/>
        <w:ind w:left="578" w:hanging="578"/>
        <w:rPr>
          <w:color w:val="000000" w:themeColor="text1"/>
        </w:rPr>
      </w:pPr>
      <w:r w:rsidRPr="007560E0">
        <w:rPr>
          <w:color w:val="000000" w:themeColor="text1"/>
        </w:rPr>
        <w:t>Medição dos serviços dos fornecedores</w:t>
      </w:r>
    </w:p>
    <w:p w14:paraId="6A9411BA" w14:textId="72528C26" w:rsidR="004C7EF0" w:rsidRDefault="004C7EF0" w:rsidP="004C7EF0">
      <w:r w:rsidRPr="007560E0">
        <w:t xml:space="preserve">Para os fornecedores intitulados de “consultores” deverá ser adotado o modelo de Medição de acordo com o </w:t>
      </w:r>
      <w:r w:rsidRPr="007560E0">
        <w:rPr>
          <w:b/>
          <w:i/>
        </w:rPr>
        <w:t>“FO.0</w:t>
      </w:r>
      <w:r w:rsidR="00147ECC" w:rsidRPr="007560E0">
        <w:rPr>
          <w:b/>
          <w:i/>
        </w:rPr>
        <w:t>24</w:t>
      </w:r>
      <w:r w:rsidRPr="007560E0">
        <w:rPr>
          <w:b/>
          <w:i/>
        </w:rPr>
        <w:t xml:space="preserve"> – Medição de Serviços”.</w:t>
      </w:r>
    </w:p>
    <w:p w14:paraId="22F0B86C" w14:textId="77777777" w:rsidR="004C7EF0" w:rsidRPr="004C7EF0" w:rsidRDefault="004C7EF0" w:rsidP="004C7EF0"/>
    <w:p w14:paraId="70A291CD" w14:textId="6FAE6A6B" w:rsidR="00FC1D7F" w:rsidRDefault="00FC1D7F" w:rsidP="00E50D11">
      <w:pPr>
        <w:pStyle w:val="Ttulo1"/>
        <w:rPr>
          <w:color w:val="000000" w:themeColor="text1"/>
        </w:rPr>
      </w:pPr>
      <w:r>
        <w:rPr>
          <w:color w:val="000000" w:themeColor="text1"/>
        </w:rPr>
        <w:t>registros</w:t>
      </w:r>
    </w:p>
    <w:p w14:paraId="11357D5D" w14:textId="32FA20F6" w:rsidR="00FC1D7F" w:rsidRDefault="00FC1D7F" w:rsidP="00FC1D7F">
      <w:r w:rsidRPr="00FC1D7F">
        <w:t>FO.</w:t>
      </w:r>
      <w:r w:rsidR="009C3729">
        <w:t>020</w:t>
      </w:r>
      <w:r>
        <w:t xml:space="preserve"> </w:t>
      </w:r>
      <w:r w:rsidR="00BC54BD">
        <w:t>–</w:t>
      </w:r>
      <w:r>
        <w:t xml:space="preserve"> </w:t>
      </w:r>
      <w:r w:rsidRPr="00FC1D7F">
        <w:t>Requisição, compra e recebimento</w:t>
      </w:r>
    </w:p>
    <w:p w14:paraId="188AAAC2" w14:textId="7A97B016" w:rsidR="00FC1D7F" w:rsidRDefault="00D82601" w:rsidP="00FC1D7F">
      <w:r>
        <w:t>FO.</w:t>
      </w:r>
      <w:r w:rsidR="009C3729">
        <w:t>021</w:t>
      </w:r>
      <w:r w:rsidR="00FC1D7F" w:rsidRPr="00FC1D7F">
        <w:t xml:space="preserve"> </w:t>
      </w:r>
      <w:r w:rsidR="00BC54BD">
        <w:t>–</w:t>
      </w:r>
      <w:r w:rsidR="00FC1D7F" w:rsidRPr="00FC1D7F">
        <w:t xml:space="preserve"> Ordem de Compra</w:t>
      </w:r>
    </w:p>
    <w:p w14:paraId="4AABDEE0" w14:textId="47FC43C0" w:rsidR="00FC1D7F" w:rsidRDefault="00D82601" w:rsidP="00FC1D7F">
      <w:r>
        <w:t>FO.</w:t>
      </w:r>
      <w:r w:rsidR="009C3729">
        <w:t>022</w:t>
      </w:r>
      <w:r w:rsidR="00FC1D7F" w:rsidRPr="00FC1D7F">
        <w:t xml:space="preserve"> </w:t>
      </w:r>
      <w:r w:rsidR="00BC54BD">
        <w:t>–</w:t>
      </w:r>
      <w:r w:rsidR="00FC1D7F" w:rsidRPr="00FC1D7F">
        <w:t xml:space="preserve"> Gestão de Fornecedores Críticos</w:t>
      </w:r>
    </w:p>
    <w:p w14:paraId="4E44A9B4" w14:textId="0AC88530" w:rsidR="00FC1D7F" w:rsidRDefault="00D82601" w:rsidP="00FC1D7F">
      <w:r>
        <w:t>FO.</w:t>
      </w:r>
      <w:r w:rsidR="009C3729">
        <w:t>023</w:t>
      </w:r>
      <w:r w:rsidR="00FC1D7F" w:rsidRPr="00FC1D7F">
        <w:t xml:space="preserve"> </w:t>
      </w:r>
      <w:r w:rsidR="00BC54BD">
        <w:t>–</w:t>
      </w:r>
      <w:r w:rsidR="00FC1D7F" w:rsidRPr="00FC1D7F">
        <w:t xml:space="preserve"> Desempenho de Fornecedores</w:t>
      </w:r>
    </w:p>
    <w:p w14:paraId="4F1160F7" w14:textId="52D83B55" w:rsidR="009C3729" w:rsidRDefault="009C3729" w:rsidP="00FC1D7F">
      <w:r>
        <w:t>FO.024</w:t>
      </w:r>
      <w:r w:rsidRPr="00FC1D7F">
        <w:t xml:space="preserve"> </w:t>
      </w:r>
      <w:r>
        <w:t>–</w:t>
      </w:r>
      <w:r w:rsidRPr="00FC1D7F">
        <w:t xml:space="preserve"> </w:t>
      </w:r>
      <w:r>
        <w:t>Medição de Fornecedores</w:t>
      </w:r>
    </w:p>
    <w:p w14:paraId="4CAC6D05" w14:textId="7491CF5A" w:rsidR="00D97FC2" w:rsidRDefault="00D97FC2" w:rsidP="00FC1D7F">
      <w:r>
        <w:t>Documentação para homologação de fornecedores</w:t>
      </w:r>
    </w:p>
    <w:p w14:paraId="18CC9CB8" w14:textId="478E5435" w:rsidR="00D97FC2" w:rsidRPr="00FC1D7F" w:rsidRDefault="00D97FC2" w:rsidP="00FC1D7F">
      <w:r>
        <w:t>E-mails de cotação</w:t>
      </w:r>
    </w:p>
    <w:p w14:paraId="0F523CF7" w14:textId="1212A723" w:rsidR="00FD686D" w:rsidRPr="00275F61" w:rsidRDefault="00463121" w:rsidP="00E50D11">
      <w:pPr>
        <w:pStyle w:val="Ttulo1"/>
        <w:rPr>
          <w:color w:val="000000" w:themeColor="text1"/>
        </w:rPr>
      </w:pPr>
      <w:r>
        <w:rPr>
          <w:color w:val="000000" w:themeColor="text1"/>
        </w:rPr>
        <w:t>desvios de processo</w:t>
      </w:r>
    </w:p>
    <w:tbl>
      <w:tblPr>
        <w:tblStyle w:val="Tabelacomgrade"/>
        <w:tblW w:w="0" w:type="auto"/>
        <w:tblLook w:val="04A0" w:firstRow="1" w:lastRow="0" w:firstColumn="1" w:lastColumn="0" w:noHBand="0" w:noVBand="1"/>
      </w:tblPr>
      <w:tblGrid>
        <w:gridCol w:w="3209"/>
        <w:gridCol w:w="3209"/>
        <w:gridCol w:w="3210"/>
      </w:tblGrid>
      <w:tr w:rsidR="00275F61" w:rsidRPr="00275F61" w14:paraId="0463D98A" w14:textId="77777777" w:rsidTr="005924D1">
        <w:tc>
          <w:tcPr>
            <w:tcW w:w="3209" w:type="dxa"/>
          </w:tcPr>
          <w:p w14:paraId="19DDB90C" w14:textId="7C3A6412" w:rsidR="005924D1" w:rsidRPr="00275F61" w:rsidRDefault="005924D1" w:rsidP="00D80310">
            <w:pPr>
              <w:jc w:val="center"/>
              <w:rPr>
                <w:b/>
                <w:color w:val="000000" w:themeColor="text1"/>
              </w:rPr>
            </w:pPr>
            <w:r w:rsidRPr="00275F61">
              <w:rPr>
                <w:b/>
                <w:color w:val="000000" w:themeColor="text1"/>
              </w:rPr>
              <w:t>Desvio possível</w:t>
            </w:r>
          </w:p>
        </w:tc>
        <w:tc>
          <w:tcPr>
            <w:tcW w:w="3209" w:type="dxa"/>
          </w:tcPr>
          <w:p w14:paraId="6A10AEEA" w14:textId="2D04F0D2" w:rsidR="005924D1" w:rsidRPr="00275F61" w:rsidRDefault="005924D1" w:rsidP="00D80310">
            <w:pPr>
              <w:jc w:val="center"/>
              <w:rPr>
                <w:b/>
                <w:color w:val="000000" w:themeColor="text1"/>
              </w:rPr>
            </w:pPr>
            <w:r w:rsidRPr="00275F61">
              <w:rPr>
                <w:b/>
                <w:color w:val="000000" w:themeColor="text1"/>
              </w:rPr>
              <w:t>Ação imediata</w:t>
            </w:r>
          </w:p>
        </w:tc>
        <w:tc>
          <w:tcPr>
            <w:tcW w:w="3210" w:type="dxa"/>
          </w:tcPr>
          <w:p w14:paraId="1D1331A2" w14:textId="45339BF7" w:rsidR="005924D1" w:rsidRPr="00275F61" w:rsidRDefault="005924D1" w:rsidP="00D80310">
            <w:pPr>
              <w:jc w:val="center"/>
              <w:rPr>
                <w:b/>
                <w:color w:val="000000" w:themeColor="text1"/>
              </w:rPr>
            </w:pPr>
            <w:r w:rsidRPr="00275F61">
              <w:rPr>
                <w:b/>
                <w:color w:val="000000" w:themeColor="text1"/>
              </w:rPr>
              <w:t>Responsável</w:t>
            </w:r>
          </w:p>
        </w:tc>
      </w:tr>
      <w:tr w:rsidR="00275F61" w:rsidRPr="00275F61" w14:paraId="1A294505" w14:textId="77777777" w:rsidTr="005924D1">
        <w:tc>
          <w:tcPr>
            <w:tcW w:w="3209" w:type="dxa"/>
          </w:tcPr>
          <w:p w14:paraId="059D33C4" w14:textId="48873BC2" w:rsidR="005924D1" w:rsidRPr="00275F61" w:rsidRDefault="004E32C5" w:rsidP="00FD686D">
            <w:pPr>
              <w:rPr>
                <w:color w:val="000000" w:themeColor="text1"/>
              </w:rPr>
            </w:pPr>
            <w:r>
              <w:rPr>
                <w:color w:val="000000" w:themeColor="text1"/>
              </w:rPr>
              <w:t>Falta de fornecedores</w:t>
            </w:r>
          </w:p>
        </w:tc>
        <w:tc>
          <w:tcPr>
            <w:tcW w:w="3209" w:type="dxa"/>
          </w:tcPr>
          <w:p w14:paraId="7AD79541" w14:textId="2F6AA894" w:rsidR="005924D1" w:rsidRPr="00275F61" w:rsidRDefault="004E32C5" w:rsidP="004E32C5">
            <w:pPr>
              <w:rPr>
                <w:color w:val="000000" w:themeColor="text1"/>
              </w:rPr>
            </w:pPr>
            <w:r>
              <w:rPr>
                <w:color w:val="000000" w:themeColor="text1"/>
              </w:rPr>
              <w:t>Procurar novo fornecedor</w:t>
            </w:r>
          </w:p>
        </w:tc>
        <w:tc>
          <w:tcPr>
            <w:tcW w:w="3210" w:type="dxa"/>
          </w:tcPr>
          <w:p w14:paraId="3B85E183" w14:textId="5681C23A" w:rsidR="005924D1" w:rsidRPr="00275F61" w:rsidRDefault="008540A5" w:rsidP="00FD686D">
            <w:pPr>
              <w:rPr>
                <w:color w:val="000000" w:themeColor="text1"/>
              </w:rPr>
            </w:pPr>
            <w:r w:rsidRPr="00275F61">
              <w:rPr>
                <w:color w:val="000000" w:themeColor="text1"/>
              </w:rPr>
              <w:t>Administrativo</w:t>
            </w:r>
          </w:p>
        </w:tc>
      </w:tr>
      <w:tr w:rsidR="00275F61" w:rsidRPr="00275F61" w14:paraId="7FFCF87D" w14:textId="77777777" w:rsidTr="005924D1">
        <w:tc>
          <w:tcPr>
            <w:tcW w:w="3209" w:type="dxa"/>
          </w:tcPr>
          <w:p w14:paraId="3C498FE8" w14:textId="5B3A2628" w:rsidR="005924D1" w:rsidRPr="00275F61" w:rsidRDefault="004E32C5" w:rsidP="00B705E9">
            <w:pPr>
              <w:rPr>
                <w:color w:val="000000" w:themeColor="text1"/>
              </w:rPr>
            </w:pPr>
            <w:r>
              <w:rPr>
                <w:color w:val="000000" w:themeColor="text1"/>
              </w:rPr>
              <w:t>Prazo incompatível</w:t>
            </w:r>
          </w:p>
        </w:tc>
        <w:tc>
          <w:tcPr>
            <w:tcW w:w="3209" w:type="dxa"/>
          </w:tcPr>
          <w:p w14:paraId="6D228EDF" w14:textId="16343218" w:rsidR="008540A5" w:rsidRPr="00275F61" w:rsidRDefault="004E32C5" w:rsidP="000E402D">
            <w:pPr>
              <w:jc w:val="left"/>
              <w:rPr>
                <w:color w:val="000000" w:themeColor="text1"/>
              </w:rPr>
            </w:pPr>
            <w:r>
              <w:rPr>
                <w:color w:val="000000" w:themeColor="text1"/>
              </w:rPr>
              <w:t>Procurar novo fornecedor</w:t>
            </w:r>
          </w:p>
        </w:tc>
        <w:tc>
          <w:tcPr>
            <w:tcW w:w="3210" w:type="dxa"/>
          </w:tcPr>
          <w:p w14:paraId="61CFE7D0" w14:textId="1A193AE7" w:rsidR="005924D1" w:rsidRPr="00275F61" w:rsidRDefault="008540A5" w:rsidP="00FD686D">
            <w:pPr>
              <w:rPr>
                <w:color w:val="000000" w:themeColor="text1"/>
              </w:rPr>
            </w:pPr>
            <w:r w:rsidRPr="00275F61">
              <w:rPr>
                <w:color w:val="000000" w:themeColor="text1"/>
              </w:rPr>
              <w:t>Administrativo</w:t>
            </w:r>
          </w:p>
        </w:tc>
      </w:tr>
      <w:tr w:rsidR="004E32C5" w:rsidRPr="00275F61" w14:paraId="67C8F352" w14:textId="77777777" w:rsidTr="005924D1">
        <w:tc>
          <w:tcPr>
            <w:tcW w:w="3209" w:type="dxa"/>
          </w:tcPr>
          <w:p w14:paraId="2ACD7E7D" w14:textId="7C5E9208" w:rsidR="004E32C5" w:rsidRDefault="00D644F1" w:rsidP="00B705E9">
            <w:pPr>
              <w:rPr>
                <w:color w:val="000000" w:themeColor="text1"/>
              </w:rPr>
            </w:pPr>
            <w:r>
              <w:rPr>
                <w:color w:val="000000" w:themeColor="text1"/>
              </w:rPr>
              <w:t>Inconformidades no momento do recebimento do produto/serviço</w:t>
            </w:r>
          </w:p>
        </w:tc>
        <w:tc>
          <w:tcPr>
            <w:tcW w:w="3209" w:type="dxa"/>
          </w:tcPr>
          <w:p w14:paraId="287A50D6" w14:textId="1DAEFADB" w:rsidR="004E32C5" w:rsidRDefault="004E32C5" w:rsidP="000E402D">
            <w:pPr>
              <w:jc w:val="left"/>
              <w:rPr>
                <w:color w:val="000000" w:themeColor="text1"/>
              </w:rPr>
            </w:pPr>
            <w:r>
              <w:rPr>
                <w:color w:val="000000" w:themeColor="text1"/>
              </w:rPr>
              <w:t>Solicitação de correções</w:t>
            </w:r>
          </w:p>
        </w:tc>
        <w:tc>
          <w:tcPr>
            <w:tcW w:w="3210" w:type="dxa"/>
          </w:tcPr>
          <w:p w14:paraId="777BE9E5" w14:textId="06B64F95" w:rsidR="004E32C5" w:rsidRPr="00275F61" w:rsidRDefault="00463121" w:rsidP="00FD686D">
            <w:pPr>
              <w:rPr>
                <w:color w:val="000000" w:themeColor="text1"/>
              </w:rPr>
            </w:pPr>
            <w:r>
              <w:rPr>
                <w:color w:val="000000" w:themeColor="text1"/>
              </w:rPr>
              <w:t>Coordenador do projeto</w:t>
            </w:r>
          </w:p>
        </w:tc>
      </w:tr>
    </w:tbl>
    <w:p w14:paraId="514F9AD2" w14:textId="199215C9" w:rsidR="00E50D11" w:rsidRDefault="001E55EE" w:rsidP="00E50D11">
      <w:pPr>
        <w:pStyle w:val="Ttulo1"/>
        <w:rPr>
          <w:color w:val="000000" w:themeColor="text1"/>
        </w:rPr>
      </w:pPr>
      <w:r>
        <w:rPr>
          <w:color w:val="000000" w:themeColor="text1"/>
        </w:rPr>
        <w:t>a</w:t>
      </w:r>
      <w:r w:rsidR="00E50D11" w:rsidRPr="00275F61">
        <w:rPr>
          <w:color w:val="000000" w:themeColor="text1"/>
        </w:rPr>
        <w:t>nexos</w:t>
      </w:r>
    </w:p>
    <w:p w14:paraId="0945D8BD" w14:textId="3033937B" w:rsidR="00463121" w:rsidRPr="00E9521D" w:rsidRDefault="00E9521D" w:rsidP="00463121">
      <w:r w:rsidRPr="00E9521D">
        <w:t>Não se aplica.</w:t>
      </w:r>
    </w:p>
    <w:sectPr w:rsidR="00463121" w:rsidRPr="00E9521D" w:rsidSect="008A51C1">
      <w:headerReference w:type="even" r:id="rId8"/>
      <w:headerReference w:type="default" r:id="rId9"/>
      <w:headerReference w:type="first" r:id="rId10"/>
      <w:pgSz w:w="11907" w:h="16840" w:code="9"/>
      <w:pgMar w:top="2098" w:right="851" w:bottom="624" w:left="1418" w:header="680" w:footer="56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453EAF" w14:textId="77777777" w:rsidR="00A97752" w:rsidRDefault="00A97752">
      <w:r>
        <w:separator/>
      </w:r>
    </w:p>
  </w:endnote>
  <w:endnote w:type="continuationSeparator" w:id="0">
    <w:p w14:paraId="3F8F3154" w14:textId="77777777" w:rsidR="00A97752" w:rsidRDefault="00A97752">
      <w:r>
        <w:continuationSeparator/>
      </w:r>
    </w:p>
  </w:endnote>
  <w:endnote w:type="continuationNotice" w:id="1">
    <w:p w14:paraId="662B4DE5" w14:textId="77777777" w:rsidR="00A97752" w:rsidRDefault="00A9775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charset w:val="00"/>
    <w:family w:val="swiss"/>
    <w:pitch w:val="variable"/>
    <w:sig w:usb0="E1002EFF" w:usb1="C000605B" w:usb2="00000029" w:usb3="00000000" w:csb0="000101FF" w:csb1="00000000"/>
  </w:font>
  <w:font w:name="Cambria">
    <w:charset w:val="00"/>
    <w:family w:val="roman"/>
    <w:pitch w:val="variable"/>
    <w:sig w:usb0="E00002FF" w:usb1="400004FF" w:usb2="00000000" w:usb3="00000000" w:csb0="0000019F" w:csb1="00000000"/>
  </w:font>
  <w:font w:name="Calibri">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5F693E" w14:textId="77777777" w:rsidR="00A97752" w:rsidRDefault="00A97752">
      <w:r>
        <w:separator/>
      </w:r>
    </w:p>
  </w:footnote>
  <w:footnote w:type="continuationSeparator" w:id="0">
    <w:p w14:paraId="7B1484A5" w14:textId="77777777" w:rsidR="00A97752" w:rsidRDefault="00A97752">
      <w:r>
        <w:continuationSeparator/>
      </w:r>
    </w:p>
  </w:footnote>
  <w:footnote w:type="continuationNotice" w:id="1">
    <w:p w14:paraId="52FBB554" w14:textId="77777777" w:rsidR="00A97752" w:rsidRDefault="00A97752">
      <w:pPr>
        <w:spacing w:before="0" w:after="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B3F1B" w14:textId="77777777" w:rsidR="004470CE" w:rsidRDefault="005A7E4F">
    <w:pPr>
      <w:pStyle w:val="Cabealho"/>
    </w:pPr>
    <w:r>
      <w:rPr>
        <w:noProof/>
      </w:rPr>
      <w:pict w14:anchorId="00CC39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3" type="#_x0000_t136" style="position:absolute;left:0;text-align:left;margin-left:0;margin-top:0;width:540pt;height:49.5pt;rotation:315;z-index:-251658240;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43" w:type="dxa"/>
      <w:tblInd w:w="-28" w:type="dxa"/>
      <w:tblLayout w:type="fixed"/>
      <w:tblCellMar>
        <w:left w:w="70" w:type="dxa"/>
        <w:right w:w="70" w:type="dxa"/>
      </w:tblCellMar>
      <w:tblLook w:val="0000" w:firstRow="0" w:lastRow="0" w:firstColumn="0" w:lastColumn="0" w:noHBand="0" w:noVBand="0"/>
    </w:tblPr>
    <w:tblGrid>
      <w:gridCol w:w="5990"/>
      <w:gridCol w:w="1835"/>
      <w:gridCol w:w="1918"/>
    </w:tblGrid>
    <w:tr w:rsidR="004470CE" w14:paraId="599B559D" w14:textId="77777777" w:rsidTr="0026300F">
      <w:trPr>
        <w:cantSplit/>
        <w:trHeight w:hRule="exact" w:val="284"/>
      </w:trPr>
      <w:tc>
        <w:tcPr>
          <w:tcW w:w="5990" w:type="dxa"/>
        </w:tcPr>
        <w:p w14:paraId="0761294C" w14:textId="69CED7A2" w:rsidR="004470CE" w:rsidRDefault="004470CE">
          <w:pPr>
            <w:spacing w:after="0"/>
            <w:rPr>
              <w:b/>
              <w:sz w:val="24"/>
            </w:rPr>
          </w:pPr>
          <w:r>
            <w:rPr>
              <w:b/>
              <w:sz w:val="18"/>
            </w:rPr>
            <w:t>Título do documento:</w:t>
          </w:r>
        </w:p>
        <w:p w14:paraId="357A011B" w14:textId="77777777" w:rsidR="004470CE" w:rsidRDefault="004470CE">
          <w:pPr>
            <w:spacing w:after="0"/>
            <w:rPr>
              <w:b/>
              <w:sz w:val="24"/>
            </w:rPr>
          </w:pPr>
        </w:p>
      </w:tc>
      <w:tc>
        <w:tcPr>
          <w:tcW w:w="3753" w:type="dxa"/>
          <w:gridSpan w:val="2"/>
          <w:shd w:val="clear" w:color="auto" w:fill="auto"/>
          <w:vAlign w:val="center"/>
        </w:tcPr>
        <w:p w14:paraId="24894100" w14:textId="77777777" w:rsidR="004470CE" w:rsidRPr="004E7800" w:rsidRDefault="004470CE" w:rsidP="00974B9D">
          <w:pPr>
            <w:ind w:right="113"/>
            <w:jc w:val="right"/>
            <w:rPr>
              <w:rFonts w:cs="Arial"/>
              <w:sz w:val="18"/>
              <w:szCs w:val="18"/>
            </w:rPr>
          </w:pPr>
          <w:r w:rsidRPr="004E7800">
            <w:rPr>
              <w:rFonts w:cs="Arial"/>
              <w:sz w:val="18"/>
              <w:szCs w:val="18"/>
            </w:rPr>
            <w:t>Classificação: Reservad</w:t>
          </w:r>
          <w:r>
            <w:rPr>
              <w:rFonts w:cs="Arial"/>
              <w:sz w:val="18"/>
              <w:szCs w:val="18"/>
            </w:rPr>
            <w:t>o</w:t>
          </w:r>
        </w:p>
        <w:p w14:paraId="408F6ED2" w14:textId="77777777" w:rsidR="004470CE" w:rsidRDefault="004470CE">
          <w:pPr>
            <w:spacing w:after="0"/>
            <w:rPr>
              <w:b/>
              <w:sz w:val="24"/>
            </w:rPr>
          </w:pPr>
        </w:p>
      </w:tc>
    </w:tr>
    <w:tr w:rsidR="004470CE" w14:paraId="17D6E710" w14:textId="77777777" w:rsidTr="00723A0F">
      <w:tblPrEx>
        <w:tblCellMar>
          <w:left w:w="0" w:type="dxa"/>
          <w:right w:w="0" w:type="dxa"/>
        </w:tblCellMar>
      </w:tblPrEx>
      <w:trPr>
        <w:cantSplit/>
        <w:trHeight w:hRule="exact" w:val="284"/>
      </w:trPr>
      <w:tc>
        <w:tcPr>
          <w:tcW w:w="5990" w:type="dxa"/>
          <w:vMerge w:val="restart"/>
          <w:tcBorders>
            <w:bottom w:val="single" w:sz="18" w:space="0" w:color="auto"/>
          </w:tcBorders>
          <w:vAlign w:val="center"/>
        </w:tcPr>
        <w:p w14:paraId="37305462" w14:textId="622FF432" w:rsidR="004470CE" w:rsidRDefault="00C01DC8" w:rsidP="00F91999">
          <w:pPr>
            <w:spacing w:after="0"/>
            <w:jc w:val="left"/>
            <w:rPr>
              <w:b/>
              <w:caps/>
              <w:color w:val="000000"/>
              <w:sz w:val="28"/>
            </w:rPr>
          </w:pPr>
          <w:r>
            <w:rPr>
              <w:b/>
              <w:caps/>
              <w:color w:val="FF0000"/>
              <w:sz w:val="28"/>
            </w:rPr>
            <w:t xml:space="preserve">GESTÃO DE </w:t>
          </w:r>
          <w:r w:rsidR="004B0DF8">
            <w:rPr>
              <w:b/>
              <w:caps/>
              <w:color w:val="FF0000"/>
              <w:sz w:val="28"/>
            </w:rPr>
            <w:t>COMPRAS E FORNECEDORES</w:t>
          </w:r>
        </w:p>
      </w:tc>
      <w:tc>
        <w:tcPr>
          <w:tcW w:w="1835" w:type="dxa"/>
          <w:vMerge w:val="restart"/>
          <w:tcBorders>
            <w:right w:val="single" w:sz="4" w:space="0" w:color="auto"/>
          </w:tcBorders>
          <w:shd w:val="clear" w:color="auto" w:fill="auto"/>
          <w:vAlign w:val="center"/>
        </w:tcPr>
        <w:p w14:paraId="5422001A" w14:textId="6B0B3D99" w:rsidR="004470CE" w:rsidRDefault="005A7E4F" w:rsidP="00522B63">
          <w:pPr>
            <w:rPr>
              <w:sz w:val="18"/>
            </w:rPr>
          </w:pPr>
          <w:r>
            <w:rPr>
              <w:noProof/>
              <w:sz w:val="18"/>
            </w:rPr>
            <w:drawing>
              <wp:inline distT="0" distB="0" distL="0" distR="0" wp14:anchorId="294703D4" wp14:editId="246AAF90">
                <wp:extent cx="1023235" cy="380365"/>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CONEP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300" cy="384478"/>
                        </a:xfrm>
                        <a:prstGeom prst="rect">
                          <a:avLst/>
                        </a:prstGeom>
                      </pic:spPr>
                    </pic:pic>
                  </a:graphicData>
                </a:graphic>
              </wp:inline>
            </w:drawing>
          </w:r>
        </w:p>
      </w:tc>
      <w:tc>
        <w:tcPr>
          <w:tcW w:w="1918" w:type="dxa"/>
          <w:tcBorders>
            <w:left w:val="single" w:sz="4" w:space="0" w:color="auto"/>
            <w:right w:val="single" w:sz="4" w:space="0" w:color="auto"/>
          </w:tcBorders>
          <w:vAlign w:val="center"/>
        </w:tcPr>
        <w:p w14:paraId="376AD0BE" w14:textId="775F2D51" w:rsidR="004470CE" w:rsidRPr="00BA2C33" w:rsidRDefault="008C0649" w:rsidP="00D70CC0">
          <w:pPr>
            <w:spacing w:before="0" w:after="0"/>
            <w:jc w:val="center"/>
            <w:rPr>
              <w:b/>
              <w:sz w:val="26"/>
              <w:szCs w:val="26"/>
            </w:rPr>
          </w:pPr>
          <w:r>
            <w:rPr>
              <w:b/>
              <w:color w:val="FF0000"/>
              <w:sz w:val="26"/>
              <w:szCs w:val="26"/>
            </w:rPr>
            <w:t>D.2</w:t>
          </w:r>
        </w:p>
      </w:tc>
    </w:tr>
    <w:tr w:rsidR="004470CE" w14:paraId="01598CCB" w14:textId="77777777" w:rsidTr="00723A0F">
      <w:tblPrEx>
        <w:tblCellMar>
          <w:left w:w="0" w:type="dxa"/>
          <w:right w:w="0" w:type="dxa"/>
        </w:tblCellMar>
      </w:tblPrEx>
      <w:trPr>
        <w:cantSplit/>
        <w:trHeight w:hRule="exact" w:val="284"/>
      </w:trPr>
      <w:tc>
        <w:tcPr>
          <w:tcW w:w="5990" w:type="dxa"/>
          <w:vMerge/>
          <w:tcBorders>
            <w:top w:val="single" w:sz="18" w:space="0" w:color="auto"/>
            <w:bottom w:val="single" w:sz="18" w:space="0" w:color="auto"/>
          </w:tcBorders>
        </w:tcPr>
        <w:p w14:paraId="2A6B02B7" w14:textId="77777777" w:rsidR="004470CE" w:rsidRDefault="004470CE">
          <w:pPr>
            <w:spacing w:after="0"/>
          </w:pPr>
        </w:p>
      </w:tc>
      <w:tc>
        <w:tcPr>
          <w:tcW w:w="1835" w:type="dxa"/>
          <w:vMerge/>
          <w:shd w:val="clear" w:color="auto" w:fill="auto"/>
        </w:tcPr>
        <w:p w14:paraId="6653FF45" w14:textId="77777777" w:rsidR="004470CE" w:rsidRDefault="004470CE">
          <w:pPr>
            <w:spacing w:after="0"/>
          </w:pPr>
        </w:p>
      </w:tc>
      <w:tc>
        <w:tcPr>
          <w:tcW w:w="1918" w:type="dxa"/>
        </w:tcPr>
        <w:p w14:paraId="3F74DD46" w14:textId="390A9A26" w:rsidR="004470CE" w:rsidRDefault="004470CE" w:rsidP="005A7E4F">
          <w:pPr>
            <w:spacing w:after="0"/>
            <w:jc w:val="center"/>
            <w:rPr>
              <w:position w:val="-14"/>
              <w:sz w:val="18"/>
              <w:vertAlign w:val="superscript"/>
            </w:rPr>
          </w:pPr>
          <w:r>
            <w:rPr>
              <w:sz w:val="18"/>
              <w:vertAlign w:val="superscript"/>
            </w:rPr>
            <w:t>N.º documento</w:t>
          </w:r>
        </w:p>
      </w:tc>
    </w:tr>
    <w:tr w:rsidR="004470CE" w14:paraId="3378FA61" w14:textId="77777777" w:rsidTr="00723A0F">
      <w:tblPrEx>
        <w:tblCellMar>
          <w:left w:w="0" w:type="dxa"/>
          <w:right w:w="0" w:type="dxa"/>
        </w:tblCellMar>
      </w:tblPrEx>
      <w:trPr>
        <w:cantSplit/>
        <w:trHeight w:hRule="exact" w:val="421"/>
      </w:trPr>
      <w:tc>
        <w:tcPr>
          <w:tcW w:w="5990" w:type="dxa"/>
          <w:vMerge/>
          <w:tcBorders>
            <w:top w:val="single" w:sz="18" w:space="0" w:color="auto"/>
            <w:bottom w:val="single" w:sz="18" w:space="0" w:color="auto"/>
          </w:tcBorders>
        </w:tcPr>
        <w:p w14:paraId="637AEA5C" w14:textId="77777777" w:rsidR="004470CE" w:rsidRDefault="004470CE">
          <w:pPr>
            <w:spacing w:after="0"/>
          </w:pPr>
        </w:p>
      </w:tc>
      <w:tc>
        <w:tcPr>
          <w:tcW w:w="1835" w:type="dxa"/>
          <w:vMerge/>
          <w:tcBorders>
            <w:bottom w:val="single" w:sz="18" w:space="0" w:color="auto"/>
          </w:tcBorders>
        </w:tcPr>
        <w:p w14:paraId="7D7DC87A" w14:textId="77777777" w:rsidR="004470CE" w:rsidRDefault="004470CE">
          <w:pPr>
            <w:spacing w:after="0"/>
          </w:pPr>
        </w:p>
      </w:tc>
      <w:tc>
        <w:tcPr>
          <w:tcW w:w="1918" w:type="dxa"/>
          <w:tcBorders>
            <w:bottom w:val="single" w:sz="18" w:space="0" w:color="auto"/>
          </w:tcBorders>
        </w:tcPr>
        <w:p w14:paraId="5D80DBB1" w14:textId="6EA442C0" w:rsidR="004470CE" w:rsidRDefault="004470CE" w:rsidP="00852B7E">
          <w:pPr>
            <w:spacing w:after="0"/>
            <w:jc w:val="center"/>
            <w:rPr>
              <w:position w:val="-14"/>
              <w:sz w:val="18"/>
            </w:rPr>
          </w:pPr>
          <w:r>
            <w:rPr>
              <w:sz w:val="18"/>
            </w:rPr>
            <w:t xml:space="preserve">Página </w:t>
          </w:r>
          <w:r>
            <w:rPr>
              <w:rStyle w:val="Nmerodepgina"/>
            </w:rPr>
            <w:fldChar w:fldCharType="begin"/>
          </w:r>
          <w:r>
            <w:rPr>
              <w:rStyle w:val="Nmerodepgina"/>
            </w:rPr>
            <w:instrText xml:space="preserve"> PAGE </w:instrText>
          </w:r>
          <w:r>
            <w:rPr>
              <w:rStyle w:val="Nmerodepgina"/>
            </w:rPr>
            <w:fldChar w:fldCharType="separate"/>
          </w:r>
          <w:r w:rsidR="005A7E4F">
            <w:rPr>
              <w:rStyle w:val="Nmerodepgina"/>
              <w:noProof/>
            </w:rPr>
            <w:t>6</w:t>
          </w:r>
          <w:r>
            <w:rPr>
              <w:rStyle w:val="Nmerodepgina"/>
            </w:rPr>
            <w:fldChar w:fldCharType="end"/>
          </w:r>
          <w:r>
            <w:rPr>
              <w:rStyle w:val="Nmerodepgina"/>
            </w:rPr>
            <w:t xml:space="preserve"> </w:t>
          </w:r>
          <w:r>
            <w:rPr>
              <w:sz w:val="18"/>
            </w:rPr>
            <w:t xml:space="preserve">de </w:t>
          </w:r>
          <w:r>
            <w:rPr>
              <w:rStyle w:val="Nmerodepgina"/>
            </w:rPr>
            <w:fldChar w:fldCharType="begin"/>
          </w:r>
          <w:r>
            <w:rPr>
              <w:rStyle w:val="Nmerodepgina"/>
            </w:rPr>
            <w:instrText xml:space="preserve"> NUMPAGES </w:instrText>
          </w:r>
          <w:r>
            <w:rPr>
              <w:rStyle w:val="Nmerodepgina"/>
            </w:rPr>
            <w:fldChar w:fldCharType="separate"/>
          </w:r>
          <w:r w:rsidR="005A7E4F">
            <w:rPr>
              <w:rStyle w:val="Nmerodepgina"/>
              <w:noProof/>
            </w:rPr>
            <w:t>6</w:t>
          </w:r>
          <w:r>
            <w:rPr>
              <w:rStyle w:val="Nmerodepgina"/>
            </w:rPr>
            <w:fldChar w:fldCharType="end"/>
          </w:r>
        </w:p>
      </w:tc>
    </w:tr>
  </w:tbl>
  <w:p w14:paraId="432A365A" w14:textId="77777777" w:rsidR="004470CE" w:rsidRPr="007027B4" w:rsidRDefault="004470CE" w:rsidP="00852B7E">
    <w:pPr>
      <w:spacing w:before="0" w:after="0"/>
      <w:rPr>
        <w:sz w:val="16"/>
        <w:szCs w:val="16"/>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105B9" w14:textId="77777777" w:rsidR="004470CE" w:rsidRDefault="005A7E4F">
    <w:pPr>
      <w:pStyle w:val="Cabealho"/>
    </w:pPr>
    <w:r>
      <w:rPr>
        <w:noProof/>
      </w:rPr>
      <w:pict w14:anchorId="34C4BD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2" type="#_x0000_t136" style="position:absolute;left:0;text-align:left;margin-left:0;margin-top:0;width:540pt;height:49.5pt;rotation:315;z-index:-251659264;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5240A"/>
    <w:multiLevelType w:val="hybridMultilevel"/>
    <w:tmpl w:val="A42A50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7CE0BD4"/>
    <w:multiLevelType w:val="hybridMultilevel"/>
    <w:tmpl w:val="5A96A69E"/>
    <w:lvl w:ilvl="0" w:tplc="96887D60">
      <w:start w:val="1"/>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B684E98"/>
    <w:multiLevelType w:val="hybridMultilevel"/>
    <w:tmpl w:val="A02EAA46"/>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 w15:restartNumberingAfterBreak="0">
    <w:nsid w:val="22D168EC"/>
    <w:multiLevelType w:val="hybridMultilevel"/>
    <w:tmpl w:val="E3DCF7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BE53D79"/>
    <w:multiLevelType w:val="hybridMultilevel"/>
    <w:tmpl w:val="05A26A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46A326F7"/>
    <w:multiLevelType w:val="hybridMultilevel"/>
    <w:tmpl w:val="1F7E858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48B93649"/>
    <w:multiLevelType w:val="hybridMultilevel"/>
    <w:tmpl w:val="8DCE7E7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4C9951BC"/>
    <w:multiLevelType w:val="hybridMultilevel"/>
    <w:tmpl w:val="A76415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67F91361"/>
    <w:multiLevelType w:val="hybridMultilevel"/>
    <w:tmpl w:val="2670023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6C9C63B9"/>
    <w:multiLevelType w:val="hybridMultilevel"/>
    <w:tmpl w:val="DF626D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6D286E32"/>
    <w:multiLevelType w:val="hybridMultilevel"/>
    <w:tmpl w:val="7160DC3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6F295198"/>
    <w:multiLevelType w:val="multilevel"/>
    <w:tmpl w:val="B80E6458"/>
    <w:lvl w:ilvl="0">
      <w:start w:val="1"/>
      <w:numFmt w:val="decimal"/>
      <w:pStyle w:val="Ttulo1"/>
      <w:lvlText w:val="%1"/>
      <w:lvlJc w:val="left"/>
      <w:pPr>
        <w:tabs>
          <w:tab w:val="num" w:pos="432"/>
        </w:tabs>
        <w:ind w:left="432" w:hanging="432"/>
      </w:pPr>
      <w:rPr>
        <w:rFonts w:hint="default"/>
      </w:rPr>
    </w:lvl>
    <w:lvl w:ilvl="1">
      <w:start w:val="1"/>
      <w:numFmt w:val="decimal"/>
      <w:pStyle w:val="Ttulo2"/>
      <w:lvlText w:val="%1.%2"/>
      <w:lvlJc w:val="left"/>
      <w:pPr>
        <w:tabs>
          <w:tab w:val="num" w:pos="4403"/>
        </w:tabs>
        <w:ind w:left="4403" w:hanging="576"/>
      </w:pPr>
      <w:rPr>
        <w:rFonts w:hint="default"/>
        <w:b/>
        <w:i w:val="0"/>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2" w15:restartNumberingAfterBreak="0">
    <w:nsid w:val="75A51490"/>
    <w:multiLevelType w:val="hybridMultilevel"/>
    <w:tmpl w:val="111A9872"/>
    <w:lvl w:ilvl="0" w:tplc="6A0E3C2C">
      <w:start w:val="1"/>
      <w:numFmt w:val="bullet"/>
      <w:lvlText w:val=""/>
      <w:lvlJc w:val="left"/>
      <w:pPr>
        <w:tabs>
          <w:tab w:val="num" w:pos="720"/>
        </w:tabs>
        <w:ind w:left="720" w:hanging="360"/>
      </w:pPr>
      <w:rPr>
        <w:rFonts w:ascii="Wingdings" w:hAnsi="Wingdings" w:hint="default"/>
        <w:sz w:val="24"/>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D531F2C"/>
    <w:multiLevelType w:val="hybridMultilevel"/>
    <w:tmpl w:val="12383B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8"/>
  </w:num>
  <w:num w:numId="4">
    <w:abstractNumId w:val="12"/>
  </w:num>
  <w:num w:numId="5">
    <w:abstractNumId w:val="2"/>
  </w:num>
  <w:num w:numId="6">
    <w:abstractNumId w:val="0"/>
  </w:num>
  <w:num w:numId="7">
    <w:abstractNumId w:val="1"/>
  </w:num>
  <w:num w:numId="8">
    <w:abstractNumId w:val="5"/>
  </w:num>
  <w:num w:numId="9">
    <w:abstractNumId w:val="9"/>
  </w:num>
  <w:num w:numId="10">
    <w:abstractNumId w:val="6"/>
  </w:num>
  <w:num w:numId="11">
    <w:abstractNumId w:val="3"/>
  </w:num>
  <w:num w:numId="12">
    <w:abstractNumId w:val="10"/>
  </w:num>
  <w:num w:numId="13">
    <w:abstractNumId w:val="13"/>
  </w:num>
  <w:num w:numId="14">
    <w:abstractNumId w:val="4"/>
  </w:num>
  <w:num w:numId="15">
    <w:abstractNumId w:val="11"/>
  </w:num>
  <w:num w:numId="16">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FEF"/>
    <w:rsid w:val="00003929"/>
    <w:rsid w:val="000039E1"/>
    <w:rsid w:val="00005DA7"/>
    <w:rsid w:val="00007019"/>
    <w:rsid w:val="0001076E"/>
    <w:rsid w:val="00010CC2"/>
    <w:rsid w:val="000128CA"/>
    <w:rsid w:val="000129CB"/>
    <w:rsid w:val="000146BC"/>
    <w:rsid w:val="00015FA4"/>
    <w:rsid w:val="00016301"/>
    <w:rsid w:val="00016611"/>
    <w:rsid w:val="000222D5"/>
    <w:rsid w:val="00031388"/>
    <w:rsid w:val="00045965"/>
    <w:rsid w:val="00051A96"/>
    <w:rsid w:val="000520AC"/>
    <w:rsid w:val="00052A42"/>
    <w:rsid w:val="00055CBE"/>
    <w:rsid w:val="00056E43"/>
    <w:rsid w:val="00060845"/>
    <w:rsid w:val="000613C8"/>
    <w:rsid w:val="00062A6D"/>
    <w:rsid w:val="00062B9B"/>
    <w:rsid w:val="0007737F"/>
    <w:rsid w:val="0007791B"/>
    <w:rsid w:val="00083C13"/>
    <w:rsid w:val="00090465"/>
    <w:rsid w:val="00092C14"/>
    <w:rsid w:val="00094E51"/>
    <w:rsid w:val="000956D7"/>
    <w:rsid w:val="000A0057"/>
    <w:rsid w:val="000A58A7"/>
    <w:rsid w:val="000B1E7D"/>
    <w:rsid w:val="000B6326"/>
    <w:rsid w:val="000C5F06"/>
    <w:rsid w:val="000C6190"/>
    <w:rsid w:val="000C6424"/>
    <w:rsid w:val="000D31E7"/>
    <w:rsid w:val="000D43DF"/>
    <w:rsid w:val="000D49D5"/>
    <w:rsid w:val="000D5313"/>
    <w:rsid w:val="000D70CB"/>
    <w:rsid w:val="000E3B1E"/>
    <w:rsid w:val="000E402D"/>
    <w:rsid w:val="000E4855"/>
    <w:rsid w:val="000E4A49"/>
    <w:rsid w:val="000E54B3"/>
    <w:rsid w:val="000E5616"/>
    <w:rsid w:val="000E58AF"/>
    <w:rsid w:val="000E7595"/>
    <w:rsid w:val="000F0EDC"/>
    <w:rsid w:val="000F3262"/>
    <w:rsid w:val="00102634"/>
    <w:rsid w:val="00102A6D"/>
    <w:rsid w:val="0010602F"/>
    <w:rsid w:val="0010630C"/>
    <w:rsid w:val="001063B1"/>
    <w:rsid w:val="001103DA"/>
    <w:rsid w:val="00110C20"/>
    <w:rsid w:val="001221A7"/>
    <w:rsid w:val="00131A6D"/>
    <w:rsid w:val="00133079"/>
    <w:rsid w:val="00137DBB"/>
    <w:rsid w:val="00140B6D"/>
    <w:rsid w:val="0014250D"/>
    <w:rsid w:val="0014541C"/>
    <w:rsid w:val="00145D7D"/>
    <w:rsid w:val="0014680F"/>
    <w:rsid w:val="001470E3"/>
    <w:rsid w:val="00147ECC"/>
    <w:rsid w:val="0015138E"/>
    <w:rsid w:val="001536A5"/>
    <w:rsid w:val="00153E8D"/>
    <w:rsid w:val="00154A6F"/>
    <w:rsid w:val="00155294"/>
    <w:rsid w:val="00156749"/>
    <w:rsid w:val="00160941"/>
    <w:rsid w:val="001627C3"/>
    <w:rsid w:val="00163B25"/>
    <w:rsid w:val="00164BFD"/>
    <w:rsid w:val="00165922"/>
    <w:rsid w:val="00166E43"/>
    <w:rsid w:val="001670F3"/>
    <w:rsid w:val="0017060D"/>
    <w:rsid w:val="001727E4"/>
    <w:rsid w:val="00177974"/>
    <w:rsid w:val="001801E7"/>
    <w:rsid w:val="00181AF6"/>
    <w:rsid w:val="00193A04"/>
    <w:rsid w:val="001959CF"/>
    <w:rsid w:val="001975A1"/>
    <w:rsid w:val="001A1052"/>
    <w:rsid w:val="001A56FB"/>
    <w:rsid w:val="001A76C9"/>
    <w:rsid w:val="001B28B0"/>
    <w:rsid w:val="001B28C9"/>
    <w:rsid w:val="001B2AC7"/>
    <w:rsid w:val="001B5873"/>
    <w:rsid w:val="001C4056"/>
    <w:rsid w:val="001C469C"/>
    <w:rsid w:val="001D22F3"/>
    <w:rsid w:val="001E1204"/>
    <w:rsid w:val="001E1EFA"/>
    <w:rsid w:val="001E23EF"/>
    <w:rsid w:val="001E428B"/>
    <w:rsid w:val="001E55EE"/>
    <w:rsid w:val="001E6288"/>
    <w:rsid w:val="001E7F84"/>
    <w:rsid w:val="001F48A9"/>
    <w:rsid w:val="00200798"/>
    <w:rsid w:val="00203E46"/>
    <w:rsid w:val="00203F15"/>
    <w:rsid w:val="00205A21"/>
    <w:rsid w:val="00205E1C"/>
    <w:rsid w:val="00214861"/>
    <w:rsid w:val="00216733"/>
    <w:rsid w:val="002211F4"/>
    <w:rsid w:val="00221CC1"/>
    <w:rsid w:val="002246E1"/>
    <w:rsid w:val="002251BF"/>
    <w:rsid w:val="002265EC"/>
    <w:rsid w:val="00226BCA"/>
    <w:rsid w:val="002271C7"/>
    <w:rsid w:val="00233D20"/>
    <w:rsid w:val="00235FD4"/>
    <w:rsid w:val="0024042B"/>
    <w:rsid w:val="00240E7B"/>
    <w:rsid w:val="00241741"/>
    <w:rsid w:val="002420B1"/>
    <w:rsid w:val="0025181B"/>
    <w:rsid w:val="00252C92"/>
    <w:rsid w:val="00256E49"/>
    <w:rsid w:val="002607C0"/>
    <w:rsid w:val="0026300F"/>
    <w:rsid w:val="002664CB"/>
    <w:rsid w:val="00266992"/>
    <w:rsid w:val="00267848"/>
    <w:rsid w:val="00275F61"/>
    <w:rsid w:val="002760FC"/>
    <w:rsid w:val="00276B5B"/>
    <w:rsid w:val="00280116"/>
    <w:rsid w:val="002826FD"/>
    <w:rsid w:val="0028567A"/>
    <w:rsid w:val="00286397"/>
    <w:rsid w:val="002912D5"/>
    <w:rsid w:val="00292845"/>
    <w:rsid w:val="00292CE1"/>
    <w:rsid w:val="0029609B"/>
    <w:rsid w:val="00296566"/>
    <w:rsid w:val="002974F2"/>
    <w:rsid w:val="002A4B1D"/>
    <w:rsid w:val="002A5AAD"/>
    <w:rsid w:val="002A5C7C"/>
    <w:rsid w:val="002A6433"/>
    <w:rsid w:val="002A7E9B"/>
    <w:rsid w:val="002B044F"/>
    <w:rsid w:val="002B068F"/>
    <w:rsid w:val="002B1E01"/>
    <w:rsid w:val="002D7CC4"/>
    <w:rsid w:val="002E0750"/>
    <w:rsid w:val="002E1D24"/>
    <w:rsid w:val="002E7C87"/>
    <w:rsid w:val="002F16EB"/>
    <w:rsid w:val="002F1DA1"/>
    <w:rsid w:val="002F384C"/>
    <w:rsid w:val="002F6813"/>
    <w:rsid w:val="003011DE"/>
    <w:rsid w:val="0031098B"/>
    <w:rsid w:val="0031392A"/>
    <w:rsid w:val="0031405D"/>
    <w:rsid w:val="00317C1C"/>
    <w:rsid w:val="00320D49"/>
    <w:rsid w:val="00322812"/>
    <w:rsid w:val="00322C46"/>
    <w:rsid w:val="00323644"/>
    <w:rsid w:val="0033581F"/>
    <w:rsid w:val="0033625E"/>
    <w:rsid w:val="0034023A"/>
    <w:rsid w:val="003402DE"/>
    <w:rsid w:val="003404EC"/>
    <w:rsid w:val="00341293"/>
    <w:rsid w:val="003434DC"/>
    <w:rsid w:val="003460DD"/>
    <w:rsid w:val="003462ED"/>
    <w:rsid w:val="0034639A"/>
    <w:rsid w:val="00347568"/>
    <w:rsid w:val="003528DB"/>
    <w:rsid w:val="00353588"/>
    <w:rsid w:val="003618D1"/>
    <w:rsid w:val="00364C13"/>
    <w:rsid w:val="00367FC4"/>
    <w:rsid w:val="00381A40"/>
    <w:rsid w:val="0038514A"/>
    <w:rsid w:val="0038628C"/>
    <w:rsid w:val="00386500"/>
    <w:rsid w:val="00391066"/>
    <w:rsid w:val="0039532B"/>
    <w:rsid w:val="003A083C"/>
    <w:rsid w:val="003A141C"/>
    <w:rsid w:val="003A1C05"/>
    <w:rsid w:val="003A2C23"/>
    <w:rsid w:val="003A36AB"/>
    <w:rsid w:val="003A39F9"/>
    <w:rsid w:val="003A3C34"/>
    <w:rsid w:val="003A3DD2"/>
    <w:rsid w:val="003A4334"/>
    <w:rsid w:val="003A6157"/>
    <w:rsid w:val="003A6F71"/>
    <w:rsid w:val="003B1B71"/>
    <w:rsid w:val="003B2DE7"/>
    <w:rsid w:val="003B6A81"/>
    <w:rsid w:val="003C5442"/>
    <w:rsid w:val="003C6A71"/>
    <w:rsid w:val="003C7654"/>
    <w:rsid w:val="003D0FE3"/>
    <w:rsid w:val="003D288F"/>
    <w:rsid w:val="003E0BEF"/>
    <w:rsid w:val="003E1279"/>
    <w:rsid w:val="003E14F4"/>
    <w:rsid w:val="003E42AD"/>
    <w:rsid w:val="00401E68"/>
    <w:rsid w:val="004025EA"/>
    <w:rsid w:val="00403579"/>
    <w:rsid w:val="00403B47"/>
    <w:rsid w:val="004133EE"/>
    <w:rsid w:val="00415B18"/>
    <w:rsid w:val="00417643"/>
    <w:rsid w:val="00420E19"/>
    <w:rsid w:val="004211C8"/>
    <w:rsid w:val="00423D9E"/>
    <w:rsid w:val="00425353"/>
    <w:rsid w:val="00430228"/>
    <w:rsid w:val="00433EF0"/>
    <w:rsid w:val="00437835"/>
    <w:rsid w:val="00440DDD"/>
    <w:rsid w:val="00440DE0"/>
    <w:rsid w:val="00440F27"/>
    <w:rsid w:val="00442D58"/>
    <w:rsid w:val="00443FD8"/>
    <w:rsid w:val="004465E8"/>
    <w:rsid w:val="004470CE"/>
    <w:rsid w:val="00450519"/>
    <w:rsid w:val="00455A81"/>
    <w:rsid w:val="004561E5"/>
    <w:rsid w:val="00460DFF"/>
    <w:rsid w:val="00463121"/>
    <w:rsid w:val="004726AE"/>
    <w:rsid w:val="0047283F"/>
    <w:rsid w:val="004746BF"/>
    <w:rsid w:val="0047513A"/>
    <w:rsid w:val="0047591F"/>
    <w:rsid w:val="00477A11"/>
    <w:rsid w:val="00477CA9"/>
    <w:rsid w:val="00480CE9"/>
    <w:rsid w:val="00482D7F"/>
    <w:rsid w:val="004849CA"/>
    <w:rsid w:val="00487241"/>
    <w:rsid w:val="004A113E"/>
    <w:rsid w:val="004A2FFE"/>
    <w:rsid w:val="004A43A5"/>
    <w:rsid w:val="004A4DDA"/>
    <w:rsid w:val="004A630A"/>
    <w:rsid w:val="004B0DF8"/>
    <w:rsid w:val="004B13A7"/>
    <w:rsid w:val="004B150B"/>
    <w:rsid w:val="004B38D4"/>
    <w:rsid w:val="004B405B"/>
    <w:rsid w:val="004B43E7"/>
    <w:rsid w:val="004B55FE"/>
    <w:rsid w:val="004B673C"/>
    <w:rsid w:val="004B6F4A"/>
    <w:rsid w:val="004C0960"/>
    <w:rsid w:val="004C119C"/>
    <w:rsid w:val="004C6D49"/>
    <w:rsid w:val="004C7B68"/>
    <w:rsid w:val="004C7C51"/>
    <w:rsid w:val="004C7EF0"/>
    <w:rsid w:val="004D275D"/>
    <w:rsid w:val="004D7A83"/>
    <w:rsid w:val="004E0794"/>
    <w:rsid w:val="004E1DE0"/>
    <w:rsid w:val="004E2033"/>
    <w:rsid w:val="004E32C5"/>
    <w:rsid w:val="004E4881"/>
    <w:rsid w:val="004E5155"/>
    <w:rsid w:val="004F1D31"/>
    <w:rsid w:val="004F1FB9"/>
    <w:rsid w:val="004F4409"/>
    <w:rsid w:val="004F4E74"/>
    <w:rsid w:val="004F56E5"/>
    <w:rsid w:val="005001D0"/>
    <w:rsid w:val="00501E8B"/>
    <w:rsid w:val="00505EDC"/>
    <w:rsid w:val="00506290"/>
    <w:rsid w:val="0051317B"/>
    <w:rsid w:val="00513541"/>
    <w:rsid w:val="00513B66"/>
    <w:rsid w:val="00513D4C"/>
    <w:rsid w:val="005166A4"/>
    <w:rsid w:val="0052179D"/>
    <w:rsid w:val="00522B63"/>
    <w:rsid w:val="00522DD7"/>
    <w:rsid w:val="00532AC1"/>
    <w:rsid w:val="00535E8F"/>
    <w:rsid w:val="005363E6"/>
    <w:rsid w:val="0053714C"/>
    <w:rsid w:val="005418EB"/>
    <w:rsid w:val="00544ED1"/>
    <w:rsid w:val="00550172"/>
    <w:rsid w:val="00560EBD"/>
    <w:rsid w:val="0056325E"/>
    <w:rsid w:val="00570964"/>
    <w:rsid w:val="00574257"/>
    <w:rsid w:val="005829EE"/>
    <w:rsid w:val="00590243"/>
    <w:rsid w:val="00590EE9"/>
    <w:rsid w:val="005924D1"/>
    <w:rsid w:val="00592B12"/>
    <w:rsid w:val="005A1182"/>
    <w:rsid w:val="005A31F8"/>
    <w:rsid w:val="005A388B"/>
    <w:rsid w:val="005A7E4F"/>
    <w:rsid w:val="005B0219"/>
    <w:rsid w:val="005B0489"/>
    <w:rsid w:val="005B0BC0"/>
    <w:rsid w:val="005B1028"/>
    <w:rsid w:val="005B54E0"/>
    <w:rsid w:val="005C0DA5"/>
    <w:rsid w:val="005C1489"/>
    <w:rsid w:val="005C5D19"/>
    <w:rsid w:val="005C62E0"/>
    <w:rsid w:val="005D385E"/>
    <w:rsid w:val="005D4010"/>
    <w:rsid w:val="005D55E9"/>
    <w:rsid w:val="005E52C2"/>
    <w:rsid w:val="005E70EC"/>
    <w:rsid w:val="005F2188"/>
    <w:rsid w:val="005F6343"/>
    <w:rsid w:val="00600077"/>
    <w:rsid w:val="00600C2E"/>
    <w:rsid w:val="00601897"/>
    <w:rsid w:val="006020D7"/>
    <w:rsid w:val="006025CF"/>
    <w:rsid w:val="006044BE"/>
    <w:rsid w:val="006064BE"/>
    <w:rsid w:val="0061246C"/>
    <w:rsid w:val="0061268B"/>
    <w:rsid w:val="00613B2D"/>
    <w:rsid w:val="00616F4A"/>
    <w:rsid w:val="006249D6"/>
    <w:rsid w:val="00631D65"/>
    <w:rsid w:val="00632B35"/>
    <w:rsid w:val="00635081"/>
    <w:rsid w:val="0063796F"/>
    <w:rsid w:val="00640447"/>
    <w:rsid w:val="0064275F"/>
    <w:rsid w:val="006500C6"/>
    <w:rsid w:val="00653401"/>
    <w:rsid w:val="00653A98"/>
    <w:rsid w:val="00653D45"/>
    <w:rsid w:val="006577FF"/>
    <w:rsid w:val="00664BF6"/>
    <w:rsid w:val="006663FD"/>
    <w:rsid w:val="00666C8B"/>
    <w:rsid w:val="0067796A"/>
    <w:rsid w:val="00677A42"/>
    <w:rsid w:val="00685506"/>
    <w:rsid w:val="00686675"/>
    <w:rsid w:val="006938AF"/>
    <w:rsid w:val="00696AA9"/>
    <w:rsid w:val="006A3372"/>
    <w:rsid w:val="006A6E4B"/>
    <w:rsid w:val="006B5FEC"/>
    <w:rsid w:val="006C53EB"/>
    <w:rsid w:val="006C5FBE"/>
    <w:rsid w:val="006C7E3D"/>
    <w:rsid w:val="006D7915"/>
    <w:rsid w:val="006D7EE7"/>
    <w:rsid w:val="006E7500"/>
    <w:rsid w:val="006F593A"/>
    <w:rsid w:val="00700203"/>
    <w:rsid w:val="007016E5"/>
    <w:rsid w:val="007027B4"/>
    <w:rsid w:val="00704E0B"/>
    <w:rsid w:val="007117FD"/>
    <w:rsid w:val="00711E22"/>
    <w:rsid w:val="0071261F"/>
    <w:rsid w:val="0071388B"/>
    <w:rsid w:val="00720256"/>
    <w:rsid w:val="00720F68"/>
    <w:rsid w:val="007227BB"/>
    <w:rsid w:val="00723A0F"/>
    <w:rsid w:val="00723D3A"/>
    <w:rsid w:val="0072478F"/>
    <w:rsid w:val="00730B87"/>
    <w:rsid w:val="00733DAF"/>
    <w:rsid w:val="00734A2A"/>
    <w:rsid w:val="0073775D"/>
    <w:rsid w:val="00737BF9"/>
    <w:rsid w:val="00737C98"/>
    <w:rsid w:val="0074046A"/>
    <w:rsid w:val="0074061B"/>
    <w:rsid w:val="00742205"/>
    <w:rsid w:val="00742A11"/>
    <w:rsid w:val="00743B9E"/>
    <w:rsid w:val="00747DB2"/>
    <w:rsid w:val="007506F0"/>
    <w:rsid w:val="007560E0"/>
    <w:rsid w:val="00757DAF"/>
    <w:rsid w:val="0076192C"/>
    <w:rsid w:val="0076353A"/>
    <w:rsid w:val="007675F5"/>
    <w:rsid w:val="0076763D"/>
    <w:rsid w:val="007705FC"/>
    <w:rsid w:val="00770841"/>
    <w:rsid w:val="00771AA5"/>
    <w:rsid w:val="00776462"/>
    <w:rsid w:val="00780E38"/>
    <w:rsid w:val="0078341E"/>
    <w:rsid w:val="00783E70"/>
    <w:rsid w:val="00785292"/>
    <w:rsid w:val="00792331"/>
    <w:rsid w:val="00793612"/>
    <w:rsid w:val="007A01EC"/>
    <w:rsid w:val="007A6BF3"/>
    <w:rsid w:val="007B0839"/>
    <w:rsid w:val="007B0D3B"/>
    <w:rsid w:val="007B24DB"/>
    <w:rsid w:val="007B2B71"/>
    <w:rsid w:val="007B536E"/>
    <w:rsid w:val="007C0F97"/>
    <w:rsid w:val="007C0FC5"/>
    <w:rsid w:val="007C2CA4"/>
    <w:rsid w:val="007C40CF"/>
    <w:rsid w:val="007C7756"/>
    <w:rsid w:val="007D4428"/>
    <w:rsid w:val="007D4DE5"/>
    <w:rsid w:val="007D6845"/>
    <w:rsid w:val="007D6B3F"/>
    <w:rsid w:val="007E2FFA"/>
    <w:rsid w:val="007E3148"/>
    <w:rsid w:val="007E3D52"/>
    <w:rsid w:val="007E6E20"/>
    <w:rsid w:val="007F2B20"/>
    <w:rsid w:val="007F7AEB"/>
    <w:rsid w:val="007F7D4F"/>
    <w:rsid w:val="00805D16"/>
    <w:rsid w:val="00811781"/>
    <w:rsid w:val="00811E3D"/>
    <w:rsid w:val="00815932"/>
    <w:rsid w:val="008170A3"/>
    <w:rsid w:val="00825EC0"/>
    <w:rsid w:val="00827330"/>
    <w:rsid w:val="00831ED5"/>
    <w:rsid w:val="00836E83"/>
    <w:rsid w:val="0084145E"/>
    <w:rsid w:val="008458F0"/>
    <w:rsid w:val="00846597"/>
    <w:rsid w:val="00852B7E"/>
    <w:rsid w:val="00853B4C"/>
    <w:rsid w:val="008540A5"/>
    <w:rsid w:val="0086107B"/>
    <w:rsid w:val="0086445B"/>
    <w:rsid w:val="00867C54"/>
    <w:rsid w:val="00870569"/>
    <w:rsid w:val="0087124A"/>
    <w:rsid w:val="0087128D"/>
    <w:rsid w:val="00874AE4"/>
    <w:rsid w:val="00880BC9"/>
    <w:rsid w:val="00880F7C"/>
    <w:rsid w:val="008810A4"/>
    <w:rsid w:val="0088440E"/>
    <w:rsid w:val="00884651"/>
    <w:rsid w:val="00892191"/>
    <w:rsid w:val="008924D0"/>
    <w:rsid w:val="0089480A"/>
    <w:rsid w:val="008A289B"/>
    <w:rsid w:val="008A51C1"/>
    <w:rsid w:val="008A542F"/>
    <w:rsid w:val="008A563B"/>
    <w:rsid w:val="008B4C7E"/>
    <w:rsid w:val="008B559C"/>
    <w:rsid w:val="008B57E1"/>
    <w:rsid w:val="008B5810"/>
    <w:rsid w:val="008B7693"/>
    <w:rsid w:val="008C0649"/>
    <w:rsid w:val="008C0B92"/>
    <w:rsid w:val="008C1B1B"/>
    <w:rsid w:val="008C22E9"/>
    <w:rsid w:val="008C50D2"/>
    <w:rsid w:val="008C5F45"/>
    <w:rsid w:val="008C71B4"/>
    <w:rsid w:val="008D599D"/>
    <w:rsid w:val="008D670E"/>
    <w:rsid w:val="008E042B"/>
    <w:rsid w:val="008E34A1"/>
    <w:rsid w:val="008E6142"/>
    <w:rsid w:val="008E6F45"/>
    <w:rsid w:val="008F0442"/>
    <w:rsid w:val="008F1E1D"/>
    <w:rsid w:val="008F4F29"/>
    <w:rsid w:val="008F7630"/>
    <w:rsid w:val="00900B50"/>
    <w:rsid w:val="009010F8"/>
    <w:rsid w:val="00906566"/>
    <w:rsid w:val="0091077D"/>
    <w:rsid w:val="00915F73"/>
    <w:rsid w:val="00921EC9"/>
    <w:rsid w:val="00925B12"/>
    <w:rsid w:val="009300EF"/>
    <w:rsid w:val="00930997"/>
    <w:rsid w:val="00932316"/>
    <w:rsid w:val="009420AF"/>
    <w:rsid w:val="00954471"/>
    <w:rsid w:val="00955FF9"/>
    <w:rsid w:val="00956037"/>
    <w:rsid w:val="00964787"/>
    <w:rsid w:val="0096498B"/>
    <w:rsid w:val="009665ED"/>
    <w:rsid w:val="009670F0"/>
    <w:rsid w:val="009707C4"/>
    <w:rsid w:val="00970E76"/>
    <w:rsid w:val="00971E16"/>
    <w:rsid w:val="00974B9D"/>
    <w:rsid w:val="00974BCD"/>
    <w:rsid w:val="00980AF4"/>
    <w:rsid w:val="0098455C"/>
    <w:rsid w:val="00984A47"/>
    <w:rsid w:val="00986A53"/>
    <w:rsid w:val="0099004D"/>
    <w:rsid w:val="00991A15"/>
    <w:rsid w:val="00995404"/>
    <w:rsid w:val="00996962"/>
    <w:rsid w:val="009A03E2"/>
    <w:rsid w:val="009A1CD7"/>
    <w:rsid w:val="009A2689"/>
    <w:rsid w:val="009A441D"/>
    <w:rsid w:val="009B18A6"/>
    <w:rsid w:val="009B48D4"/>
    <w:rsid w:val="009B680B"/>
    <w:rsid w:val="009B710A"/>
    <w:rsid w:val="009C016F"/>
    <w:rsid w:val="009C10F4"/>
    <w:rsid w:val="009C1220"/>
    <w:rsid w:val="009C1332"/>
    <w:rsid w:val="009C3729"/>
    <w:rsid w:val="009C3A75"/>
    <w:rsid w:val="009C46F3"/>
    <w:rsid w:val="009C6004"/>
    <w:rsid w:val="009D13CC"/>
    <w:rsid w:val="009D32C7"/>
    <w:rsid w:val="009D4F70"/>
    <w:rsid w:val="009E115E"/>
    <w:rsid w:val="009E249F"/>
    <w:rsid w:val="009E3FE8"/>
    <w:rsid w:val="009F0DD0"/>
    <w:rsid w:val="009F1208"/>
    <w:rsid w:val="009F4690"/>
    <w:rsid w:val="009F50F4"/>
    <w:rsid w:val="00A00595"/>
    <w:rsid w:val="00A05771"/>
    <w:rsid w:val="00A1306E"/>
    <w:rsid w:val="00A13B8C"/>
    <w:rsid w:val="00A161ED"/>
    <w:rsid w:val="00A169D4"/>
    <w:rsid w:val="00A176AD"/>
    <w:rsid w:val="00A2292F"/>
    <w:rsid w:val="00A251A1"/>
    <w:rsid w:val="00A25EDB"/>
    <w:rsid w:val="00A26797"/>
    <w:rsid w:val="00A33153"/>
    <w:rsid w:val="00A3419C"/>
    <w:rsid w:val="00A36B99"/>
    <w:rsid w:val="00A37075"/>
    <w:rsid w:val="00A429F8"/>
    <w:rsid w:val="00A448D8"/>
    <w:rsid w:val="00A501CB"/>
    <w:rsid w:val="00A502D1"/>
    <w:rsid w:val="00A5238B"/>
    <w:rsid w:val="00A529BB"/>
    <w:rsid w:val="00A53B8A"/>
    <w:rsid w:val="00A5540A"/>
    <w:rsid w:val="00A635B6"/>
    <w:rsid w:val="00A67700"/>
    <w:rsid w:val="00A7007B"/>
    <w:rsid w:val="00A7339D"/>
    <w:rsid w:val="00A80F57"/>
    <w:rsid w:val="00A87DE2"/>
    <w:rsid w:val="00A923CE"/>
    <w:rsid w:val="00A97752"/>
    <w:rsid w:val="00AA01AF"/>
    <w:rsid w:val="00AA25EA"/>
    <w:rsid w:val="00AA45BF"/>
    <w:rsid w:val="00AA7F9A"/>
    <w:rsid w:val="00AB589C"/>
    <w:rsid w:val="00AB7B8C"/>
    <w:rsid w:val="00AC03E3"/>
    <w:rsid w:val="00AC5047"/>
    <w:rsid w:val="00AC7C58"/>
    <w:rsid w:val="00AD116E"/>
    <w:rsid w:val="00AD796F"/>
    <w:rsid w:val="00AE6007"/>
    <w:rsid w:val="00AE651C"/>
    <w:rsid w:val="00AF03D3"/>
    <w:rsid w:val="00AF3DF1"/>
    <w:rsid w:val="00AF4970"/>
    <w:rsid w:val="00AF511F"/>
    <w:rsid w:val="00AF77E9"/>
    <w:rsid w:val="00B02795"/>
    <w:rsid w:val="00B0485B"/>
    <w:rsid w:val="00B05A45"/>
    <w:rsid w:val="00B06403"/>
    <w:rsid w:val="00B16E75"/>
    <w:rsid w:val="00B17856"/>
    <w:rsid w:val="00B1785D"/>
    <w:rsid w:val="00B200BF"/>
    <w:rsid w:val="00B20BBA"/>
    <w:rsid w:val="00B22CF2"/>
    <w:rsid w:val="00B241EC"/>
    <w:rsid w:val="00B26348"/>
    <w:rsid w:val="00B30631"/>
    <w:rsid w:val="00B33C29"/>
    <w:rsid w:val="00B34DFB"/>
    <w:rsid w:val="00B35222"/>
    <w:rsid w:val="00B362D1"/>
    <w:rsid w:val="00B47C17"/>
    <w:rsid w:val="00B47E7B"/>
    <w:rsid w:val="00B56FEB"/>
    <w:rsid w:val="00B62B2D"/>
    <w:rsid w:val="00B65808"/>
    <w:rsid w:val="00B661A1"/>
    <w:rsid w:val="00B666CC"/>
    <w:rsid w:val="00B705E9"/>
    <w:rsid w:val="00B73D3D"/>
    <w:rsid w:val="00B74AD2"/>
    <w:rsid w:val="00B75E67"/>
    <w:rsid w:val="00B7617D"/>
    <w:rsid w:val="00B80A08"/>
    <w:rsid w:val="00B845EC"/>
    <w:rsid w:val="00B84BAA"/>
    <w:rsid w:val="00B86DB6"/>
    <w:rsid w:val="00B9079D"/>
    <w:rsid w:val="00B936A7"/>
    <w:rsid w:val="00B93E77"/>
    <w:rsid w:val="00B961E9"/>
    <w:rsid w:val="00BA0FFF"/>
    <w:rsid w:val="00BA2C33"/>
    <w:rsid w:val="00BA3797"/>
    <w:rsid w:val="00BB1233"/>
    <w:rsid w:val="00BB2150"/>
    <w:rsid w:val="00BB4EE1"/>
    <w:rsid w:val="00BC37B4"/>
    <w:rsid w:val="00BC44E1"/>
    <w:rsid w:val="00BC54BD"/>
    <w:rsid w:val="00BC630C"/>
    <w:rsid w:val="00BD42BD"/>
    <w:rsid w:val="00BD7F2F"/>
    <w:rsid w:val="00BE12C5"/>
    <w:rsid w:val="00BE3FFF"/>
    <w:rsid w:val="00BE5633"/>
    <w:rsid w:val="00BF09CB"/>
    <w:rsid w:val="00BF126D"/>
    <w:rsid w:val="00BF2763"/>
    <w:rsid w:val="00BF3834"/>
    <w:rsid w:val="00BF4937"/>
    <w:rsid w:val="00C0032D"/>
    <w:rsid w:val="00C0150D"/>
    <w:rsid w:val="00C01DC8"/>
    <w:rsid w:val="00C11B84"/>
    <w:rsid w:val="00C13A29"/>
    <w:rsid w:val="00C14B11"/>
    <w:rsid w:val="00C15024"/>
    <w:rsid w:val="00C1686B"/>
    <w:rsid w:val="00C17646"/>
    <w:rsid w:val="00C17733"/>
    <w:rsid w:val="00C223D6"/>
    <w:rsid w:val="00C272B8"/>
    <w:rsid w:val="00C31D86"/>
    <w:rsid w:val="00C3288A"/>
    <w:rsid w:val="00C34EC0"/>
    <w:rsid w:val="00C37D4C"/>
    <w:rsid w:val="00C41FDC"/>
    <w:rsid w:val="00C50B72"/>
    <w:rsid w:val="00C53306"/>
    <w:rsid w:val="00C54FEF"/>
    <w:rsid w:val="00C61574"/>
    <w:rsid w:val="00C61888"/>
    <w:rsid w:val="00C65577"/>
    <w:rsid w:val="00C65681"/>
    <w:rsid w:val="00C7421A"/>
    <w:rsid w:val="00C81882"/>
    <w:rsid w:val="00C85B4B"/>
    <w:rsid w:val="00C87921"/>
    <w:rsid w:val="00C91DB2"/>
    <w:rsid w:val="00CA0B3D"/>
    <w:rsid w:val="00CA1351"/>
    <w:rsid w:val="00CA3D46"/>
    <w:rsid w:val="00CA4C0B"/>
    <w:rsid w:val="00CC4D93"/>
    <w:rsid w:val="00CC5D5B"/>
    <w:rsid w:val="00CC5DDB"/>
    <w:rsid w:val="00CD098E"/>
    <w:rsid w:val="00CD5F2F"/>
    <w:rsid w:val="00CD6242"/>
    <w:rsid w:val="00CD7429"/>
    <w:rsid w:val="00CE146D"/>
    <w:rsid w:val="00CE2BE1"/>
    <w:rsid w:val="00CE7DA5"/>
    <w:rsid w:val="00CF1F8C"/>
    <w:rsid w:val="00CF24F3"/>
    <w:rsid w:val="00CF3007"/>
    <w:rsid w:val="00CF4B18"/>
    <w:rsid w:val="00D00576"/>
    <w:rsid w:val="00D00DA4"/>
    <w:rsid w:val="00D0122D"/>
    <w:rsid w:val="00D02C41"/>
    <w:rsid w:val="00D039BF"/>
    <w:rsid w:val="00D06142"/>
    <w:rsid w:val="00D105ED"/>
    <w:rsid w:val="00D10BB3"/>
    <w:rsid w:val="00D11473"/>
    <w:rsid w:val="00D141A9"/>
    <w:rsid w:val="00D16476"/>
    <w:rsid w:val="00D21657"/>
    <w:rsid w:val="00D22D7A"/>
    <w:rsid w:val="00D2314B"/>
    <w:rsid w:val="00D24AEC"/>
    <w:rsid w:val="00D26CB2"/>
    <w:rsid w:val="00D303C7"/>
    <w:rsid w:val="00D32100"/>
    <w:rsid w:val="00D335C1"/>
    <w:rsid w:val="00D33EEF"/>
    <w:rsid w:val="00D370DE"/>
    <w:rsid w:val="00D400C7"/>
    <w:rsid w:val="00D40AA7"/>
    <w:rsid w:val="00D41768"/>
    <w:rsid w:val="00D46D6E"/>
    <w:rsid w:val="00D50386"/>
    <w:rsid w:val="00D57FCA"/>
    <w:rsid w:val="00D6282E"/>
    <w:rsid w:val="00D63876"/>
    <w:rsid w:val="00D63C92"/>
    <w:rsid w:val="00D644F1"/>
    <w:rsid w:val="00D65E6D"/>
    <w:rsid w:val="00D669F5"/>
    <w:rsid w:val="00D70868"/>
    <w:rsid w:val="00D70A23"/>
    <w:rsid w:val="00D70CC0"/>
    <w:rsid w:val="00D73E0D"/>
    <w:rsid w:val="00D76517"/>
    <w:rsid w:val="00D76929"/>
    <w:rsid w:val="00D80310"/>
    <w:rsid w:val="00D8125F"/>
    <w:rsid w:val="00D81D9F"/>
    <w:rsid w:val="00D82601"/>
    <w:rsid w:val="00D82E3B"/>
    <w:rsid w:val="00D873D9"/>
    <w:rsid w:val="00D8792C"/>
    <w:rsid w:val="00D901BF"/>
    <w:rsid w:val="00D91B8B"/>
    <w:rsid w:val="00D97FC2"/>
    <w:rsid w:val="00DA052E"/>
    <w:rsid w:val="00DA343E"/>
    <w:rsid w:val="00DA6766"/>
    <w:rsid w:val="00DB2471"/>
    <w:rsid w:val="00DB58EE"/>
    <w:rsid w:val="00DB6286"/>
    <w:rsid w:val="00DC10E4"/>
    <w:rsid w:val="00DC22E7"/>
    <w:rsid w:val="00DC5FDA"/>
    <w:rsid w:val="00DC6B9A"/>
    <w:rsid w:val="00DC7C35"/>
    <w:rsid w:val="00DD13F8"/>
    <w:rsid w:val="00DD2B16"/>
    <w:rsid w:val="00DD3123"/>
    <w:rsid w:val="00DD633C"/>
    <w:rsid w:val="00DF078F"/>
    <w:rsid w:val="00DF4BD2"/>
    <w:rsid w:val="00DF562F"/>
    <w:rsid w:val="00DF590F"/>
    <w:rsid w:val="00E043E6"/>
    <w:rsid w:val="00E06908"/>
    <w:rsid w:val="00E07262"/>
    <w:rsid w:val="00E077B6"/>
    <w:rsid w:val="00E103EA"/>
    <w:rsid w:val="00E11ED2"/>
    <w:rsid w:val="00E1248F"/>
    <w:rsid w:val="00E125DF"/>
    <w:rsid w:val="00E13C33"/>
    <w:rsid w:val="00E14F37"/>
    <w:rsid w:val="00E16989"/>
    <w:rsid w:val="00E2088E"/>
    <w:rsid w:val="00E21657"/>
    <w:rsid w:val="00E25C18"/>
    <w:rsid w:val="00E31652"/>
    <w:rsid w:val="00E31F21"/>
    <w:rsid w:val="00E32063"/>
    <w:rsid w:val="00E378EE"/>
    <w:rsid w:val="00E427A5"/>
    <w:rsid w:val="00E45379"/>
    <w:rsid w:val="00E47ACD"/>
    <w:rsid w:val="00E50D11"/>
    <w:rsid w:val="00E538D9"/>
    <w:rsid w:val="00E56E4D"/>
    <w:rsid w:val="00E57D52"/>
    <w:rsid w:val="00E62DDF"/>
    <w:rsid w:val="00E64946"/>
    <w:rsid w:val="00E66B4A"/>
    <w:rsid w:val="00E75783"/>
    <w:rsid w:val="00E76943"/>
    <w:rsid w:val="00E80E17"/>
    <w:rsid w:val="00E83AAD"/>
    <w:rsid w:val="00E872F2"/>
    <w:rsid w:val="00E9521D"/>
    <w:rsid w:val="00EA0C2B"/>
    <w:rsid w:val="00EA358D"/>
    <w:rsid w:val="00EA3E72"/>
    <w:rsid w:val="00EA40AE"/>
    <w:rsid w:val="00EA6710"/>
    <w:rsid w:val="00EA693F"/>
    <w:rsid w:val="00EB0167"/>
    <w:rsid w:val="00EB735B"/>
    <w:rsid w:val="00EC248C"/>
    <w:rsid w:val="00EC3048"/>
    <w:rsid w:val="00EC3BE0"/>
    <w:rsid w:val="00ED1BB9"/>
    <w:rsid w:val="00ED2132"/>
    <w:rsid w:val="00ED2FEF"/>
    <w:rsid w:val="00ED5330"/>
    <w:rsid w:val="00ED6554"/>
    <w:rsid w:val="00ED7982"/>
    <w:rsid w:val="00EE027C"/>
    <w:rsid w:val="00EE103F"/>
    <w:rsid w:val="00EE2C41"/>
    <w:rsid w:val="00EF1DA8"/>
    <w:rsid w:val="00F00165"/>
    <w:rsid w:val="00F012BD"/>
    <w:rsid w:val="00F02AE2"/>
    <w:rsid w:val="00F06247"/>
    <w:rsid w:val="00F0768C"/>
    <w:rsid w:val="00F07C31"/>
    <w:rsid w:val="00F124EF"/>
    <w:rsid w:val="00F13D99"/>
    <w:rsid w:val="00F16377"/>
    <w:rsid w:val="00F20C44"/>
    <w:rsid w:val="00F33D75"/>
    <w:rsid w:val="00F3466A"/>
    <w:rsid w:val="00F37B99"/>
    <w:rsid w:val="00F37EA5"/>
    <w:rsid w:val="00F408A4"/>
    <w:rsid w:val="00F413B8"/>
    <w:rsid w:val="00F44850"/>
    <w:rsid w:val="00F56B3D"/>
    <w:rsid w:val="00F56DA1"/>
    <w:rsid w:val="00F5777B"/>
    <w:rsid w:val="00F577B4"/>
    <w:rsid w:val="00F57893"/>
    <w:rsid w:val="00F6091B"/>
    <w:rsid w:val="00F63EBA"/>
    <w:rsid w:val="00F64986"/>
    <w:rsid w:val="00F700AB"/>
    <w:rsid w:val="00F7507D"/>
    <w:rsid w:val="00F778F2"/>
    <w:rsid w:val="00F80CBE"/>
    <w:rsid w:val="00F82867"/>
    <w:rsid w:val="00F91999"/>
    <w:rsid w:val="00F9380C"/>
    <w:rsid w:val="00F94AA1"/>
    <w:rsid w:val="00FA0545"/>
    <w:rsid w:val="00FA075F"/>
    <w:rsid w:val="00FA11A9"/>
    <w:rsid w:val="00FA1A2C"/>
    <w:rsid w:val="00FA38C6"/>
    <w:rsid w:val="00FA6716"/>
    <w:rsid w:val="00FA7E3B"/>
    <w:rsid w:val="00FB2E3E"/>
    <w:rsid w:val="00FB7306"/>
    <w:rsid w:val="00FB7F25"/>
    <w:rsid w:val="00FC1D7F"/>
    <w:rsid w:val="00FC4464"/>
    <w:rsid w:val="00FC4659"/>
    <w:rsid w:val="00FC6915"/>
    <w:rsid w:val="00FC76C5"/>
    <w:rsid w:val="00FD3DD5"/>
    <w:rsid w:val="00FD3F5F"/>
    <w:rsid w:val="00FD4E15"/>
    <w:rsid w:val="00FD686D"/>
    <w:rsid w:val="00FD7284"/>
    <w:rsid w:val="00FE58D6"/>
    <w:rsid w:val="00FE7EBD"/>
    <w:rsid w:val="00FF0388"/>
    <w:rsid w:val="00FF2556"/>
    <w:rsid w:val="00FF488B"/>
    <w:rsid w:val="00FF4AD0"/>
    <w:rsid w:val="00FF521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C2DE975"/>
  <w15:docId w15:val="{B886C231-98B8-4892-B348-8EC2323EA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rFonts w:ascii="Arial" w:hAnsi="Arial"/>
      <w:sz w:val="22"/>
    </w:rPr>
  </w:style>
  <w:style w:type="paragraph" w:styleId="Ttulo1">
    <w:name w:val="heading 1"/>
    <w:basedOn w:val="Normal"/>
    <w:next w:val="Normal"/>
    <w:qFormat/>
    <w:rsid w:val="00F82867"/>
    <w:pPr>
      <w:keepNext/>
      <w:numPr>
        <w:numId w:val="1"/>
      </w:numPr>
      <w:spacing w:before="400" w:after="240"/>
      <w:jc w:val="left"/>
      <w:outlineLvl w:val="0"/>
    </w:pPr>
    <w:rPr>
      <w:b/>
      <w:caps/>
      <w:sz w:val="28"/>
    </w:rPr>
  </w:style>
  <w:style w:type="paragraph" w:styleId="Ttulo2">
    <w:name w:val="heading 2"/>
    <w:basedOn w:val="Normal"/>
    <w:next w:val="Normal"/>
    <w:qFormat/>
    <w:rsid w:val="00846597"/>
    <w:pPr>
      <w:keepNext/>
      <w:numPr>
        <w:ilvl w:val="1"/>
        <w:numId w:val="1"/>
      </w:numPr>
      <w:spacing w:before="240" w:after="180"/>
      <w:outlineLvl w:val="1"/>
    </w:pPr>
    <w:rPr>
      <w:b/>
      <w:sz w:val="24"/>
    </w:rPr>
  </w:style>
  <w:style w:type="paragraph" w:styleId="Ttulo3">
    <w:name w:val="heading 3"/>
    <w:basedOn w:val="Normal"/>
    <w:next w:val="Normal"/>
    <w:qFormat/>
    <w:rsid w:val="00846597"/>
    <w:pPr>
      <w:keepNext/>
      <w:numPr>
        <w:ilvl w:val="2"/>
        <w:numId w:val="1"/>
      </w:numPr>
      <w:tabs>
        <w:tab w:val="left" w:pos="851"/>
      </w:tabs>
      <w:spacing w:before="240" w:after="180"/>
      <w:outlineLvl w:val="2"/>
    </w:pPr>
    <w:rPr>
      <w:u w:val="single"/>
    </w:rPr>
  </w:style>
  <w:style w:type="paragraph" w:styleId="Ttulo4">
    <w:name w:val="heading 4"/>
    <w:basedOn w:val="Normal"/>
    <w:next w:val="Normal"/>
    <w:qFormat/>
    <w:rsid w:val="00846597"/>
    <w:pPr>
      <w:numPr>
        <w:ilvl w:val="3"/>
        <w:numId w:val="1"/>
      </w:numPr>
      <w:spacing w:before="240" w:after="180"/>
      <w:ind w:left="862" w:hanging="862"/>
      <w:outlineLvl w:val="3"/>
    </w:pPr>
  </w:style>
  <w:style w:type="paragraph" w:styleId="Ttulo5">
    <w:name w:val="heading 5"/>
    <w:basedOn w:val="Normal"/>
    <w:next w:val="Normal"/>
    <w:qFormat/>
    <w:rsid w:val="00846597"/>
    <w:pPr>
      <w:numPr>
        <w:ilvl w:val="4"/>
        <w:numId w:val="1"/>
      </w:numPr>
      <w:spacing w:before="240" w:after="180"/>
      <w:ind w:left="1009" w:hanging="1009"/>
      <w:outlineLvl w:val="4"/>
    </w:pPr>
  </w:style>
  <w:style w:type="paragraph" w:styleId="Ttulo6">
    <w:name w:val="heading 6"/>
    <w:basedOn w:val="Normal"/>
    <w:next w:val="Normal"/>
    <w:qFormat/>
    <w:pPr>
      <w:numPr>
        <w:ilvl w:val="5"/>
        <w:numId w:val="1"/>
      </w:numPr>
      <w:spacing w:before="240"/>
      <w:outlineLvl w:val="5"/>
    </w:pPr>
    <w:rPr>
      <w:i/>
    </w:rPr>
  </w:style>
  <w:style w:type="paragraph" w:styleId="Ttulo7">
    <w:name w:val="heading 7"/>
    <w:basedOn w:val="Normal"/>
    <w:next w:val="Normal"/>
    <w:qFormat/>
    <w:pPr>
      <w:numPr>
        <w:ilvl w:val="6"/>
        <w:numId w:val="1"/>
      </w:numPr>
      <w:spacing w:before="240"/>
      <w:outlineLvl w:val="6"/>
    </w:pPr>
    <w:rPr>
      <w:sz w:val="20"/>
    </w:rPr>
  </w:style>
  <w:style w:type="paragraph" w:styleId="Ttulo8">
    <w:name w:val="heading 8"/>
    <w:basedOn w:val="Normal"/>
    <w:next w:val="Normal"/>
    <w:qFormat/>
    <w:pPr>
      <w:numPr>
        <w:ilvl w:val="7"/>
        <w:numId w:val="1"/>
      </w:numPr>
      <w:spacing w:before="240"/>
      <w:outlineLvl w:val="7"/>
    </w:pPr>
    <w:rPr>
      <w:i/>
      <w:sz w:val="20"/>
    </w:rPr>
  </w:style>
  <w:style w:type="paragraph" w:styleId="Ttulo9">
    <w:name w:val="heading 9"/>
    <w:basedOn w:val="Normal"/>
    <w:next w:val="Normal"/>
    <w:qFormat/>
    <w:pPr>
      <w:numPr>
        <w:ilvl w:val="8"/>
        <w:numId w:val="1"/>
      </w:numPr>
      <w:spacing w:before="240"/>
      <w:outlineLvl w:val="8"/>
    </w:pPr>
    <w:rPr>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pgina">
    <w:name w:val="page number"/>
    <w:rPr>
      <w:sz w:val="18"/>
    </w:rPr>
  </w:style>
  <w:style w:type="character" w:styleId="Hyperlink">
    <w:name w:val="Hyperlink"/>
    <w:rPr>
      <w:color w:val="0000FF"/>
      <w:u w:val="single"/>
    </w:rPr>
  </w:style>
  <w:style w:type="character" w:styleId="HiperlinkVisitado">
    <w:name w:val="FollowedHyperlink"/>
    <w:rPr>
      <w:color w:val="800080"/>
      <w:u w:val="single"/>
    </w:rPr>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spacing w:before="240" w:after="0"/>
      <w:jc w:val="center"/>
    </w:pPr>
    <w:rPr>
      <w:rFonts w:ascii="Times New Roman" w:hAnsi="Times New Roman"/>
      <w:sz w:val="28"/>
    </w:rPr>
  </w:style>
  <w:style w:type="paragraph" w:styleId="Corpodetexto2">
    <w:name w:val="Body Text 2"/>
    <w:basedOn w:val="Normal"/>
    <w:rPr>
      <w:b/>
    </w:rPr>
  </w:style>
  <w:style w:type="paragraph" w:styleId="Corpodetexto3">
    <w:name w:val="Body Text 3"/>
    <w:basedOn w:val="Normal"/>
    <w:pPr>
      <w:jc w:val="left"/>
    </w:pPr>
  </w:style>
  <w:style w:type="paragraph" w:customStyle="1" w:styleId="EstiloTtulo4Sublinhado">
    <w:name w:val="Estilo Título 4 + Sublinhado"/>
    <w:basedOn w:val="Ttulo4"/>
    <w:rsid w:val="001E1204"/>
    <w:pPr>
      <w:keepNext/>
    </w:pPr>
    <w:rPr>
      <w:u w:val="single"/>
    </w:rPr>
  </w:style>
  <w:style w:type="paragraph" w:styleId="Textodebalo">
    <w:name w:val="Balloon Text"/>
    <w:basedOn w:val="Normal"/>
    <w:semiHidden/>
    <w:rsid w:val="004B6F4A"/>
    <w:rPr>
      <w:rFonts w:ascii="Tahoma" w:hAnsi="Tahoma" w:cs="Tahoma"/>
      <w:sz w:val="16"/>
      <w:szCs w:val="16"/>
    </w:rPr>
  </w:style>
  <w:style w:type="character" w:styleId="Refdecomentrio">
    <w:name w:val="annotation reference"/>
    <w:uiPriority w:val="99"/>
    <w:semiHidden/>
    <w:unhideWhenUsed/>
    <w:rsid w:val="002B1E01"/>
    <w:rPr>
      <w:sz w:val="16"/>
      <w:szCs w:val="16"/>
    </w:rPr>
  </w:style>
  <w:style w:type="paragraph" w:styleId="Textodecomentrio">
    <w:name w:val="annotation text"/>
    <w:basedOn w:val="Normal"/>
    <w:link w:val="TextodecomentrioChar"/>
    <w:uiPriority w:val="99"/>
    <w:semiHidden/>
    <w:unhideWhenUsed/>
    <w:rsid w:val="002B1E01"/>
    <w:rPr>
      <w:sz w:val="20"/>
    </w:rPr>
  </w:style>
  <w:style w:type="character" w:customStyle="1" w:styleId="TextodecomentrioChar">
    <w:name w:val="Texto de comentário Char"/>
    <w:link w:val="Textodecomentrio"/>
    <w:uiPriority w:val="99"/>
    <w:semiHidden/>
    <w:rsid w:val="002B1E01"/>
    <w:rPr>
      <w:rFonts w:ascii="Arial" w:hAnsi="Arial"/>
    </w:rPr>
  </w:style>
  <w:style w:type="paragraph" w:styleId="Assuntodocomentrio">
    <w:name w:val="annotation subject"/>
    <w:basedOn w:val="Textodecomentrio"/>
    <w:next w:val="Textodecomentrio"/>
    <w:link w:val="AssuntodocomentrioChar"/>
    <w:uiPriority w:val="99"/>
    <w:semiHidden/>
    <w:unhideWhenUsed/>
    <w:rsid w:val="002B1E01"/>
    <w:rPr>
      <w:b/>
      <w:bCs/>
    </w:rPr>
  </w:style>
  <w:style w:type="character" w:customStyle="1" w:styleId="AssuntodocomentrioChar">
    <w:name w:val="Assunto do comentário Char"/>
    <w:link w:val="Assuntodocomentrio"/>
    <w:uiPriority w:val="99"/>
    <w:semiHidden/>
    <w:rsid w:val="002B1E01"/>
    <w:rPr>
      <w:rFonts w:ascii="Arial" w:hAnsi="Arial"/>
      <w:b/>
      <w:bCs/>
    </w:rPr>
  </w:style>
  <w:style w:type="paragraph" w:styleId="PargrafodaLista">
    <w:name w:val="List Paragraph"/>
    <w:basedOn w:val="Normal"/>
    <w:uiPriority w:val="34"/>
    <w:qFormat/>
    <w:rsid w:val="00974BCD"/>
    <w:pPr>
      <w:ind w:left="720"/>
      <w:contextualSpacing/>
    </w:pPr>
  </w:style>
  <w:style w:type="paragraph" w:customStyle="1" w:styleId="Default">
    <w:name w:val="Default"/>
    <w:rsid w:val="00980AF4"/>
    <w:pPr>
      <w:autoSpaceDE w:val="0"/>
      <w:autoSpaceDN w:val="0"/>
      <w:adjustRightInd w:val="0"/>
    </w:pPr>
    <w:rPr>
      <w:rFonts w:ascii="Arial" w:hAnsi="Arial" w:cs="Arial"/>
      <w:color w:val="000000"/>
      <w:sz w:val="24"/>
      <w:szCs w:val="24"/>
    </w:rPr>
  </w:style>
  <w:style w:type="table" w:styleId="Tabelacomgrade">
    <w:name w:val="Table Grid"/>
    <w:basedOn w:val="Tabelanormal"/>
    <w:uiPriority w:val="59"/>
    <w:rsid w:val="0059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har"/>
    <w:qFormat/>
    <w:rsid w:val="00045965"/>
    <w:pPr>
      <w:spacing w:before="0" w:after="0"/>
      <w:jc w:val="center"/>
    </w:pPr>
    <w:rPr>
      <w:rFonts w:ascii="Times New Roman" w:hAnsi="Times New Roman"/>
      <w:b/>
      <w:bCs/>
      <w:sz w:val="28"/>
      <w:szCs w:val="24"/>
      <w:u w:val="single"/>
    </w:rPr>
  </w:style>
  <w:style w:type="character" w:customStyle="1" w:styleId="TtuloChar">
    <w:name w:val="Título Char"/>
    <w:basedOn w:val="Fontepargpadro"/>
    <w:link w:val="Ttulo"/>
    <w:rsid w:val="00045965"/>
    <w:rPr>
      <w:b/>
      <w:bCs/>
      <w:sz w:val="28"/>
      <w:szCs w:val="24"/>
      <w:u w:val="single"/>
    </w:rPr>
  </w:style>
  <w:style w:type="paragraph" w:styleId="Subttulo">
    <w:name w:val="Subtitle"/>
    <w:basedOn w:val="Normal"/>
    <w:link w:val="SubttuloChar"/>
    <w:qFormat/>
    <w:rsid w:val="00045965"/>
    <w:pPr>
      <w:spacing w:before="0" w:after="0"/>
      <w:jc w:val="left"/>
    </w:pPr>
    <w:rPr>
      <w:rFonts w:ascii="Times New Roman" w:hAnsi="Times New Roman"/>
      <w:b/>
      <w:bCs/>
      <w:sz w:val="24"/>
      <w:szCs w:val="24"/>
    </w:rPr>
  </w:style>
  <w:style w:type="character" w:customStyle="1" w:styleId="SubttuloChar">
    <w:name w:val="Subtítulo Char"/>
    <w:basedOn w:val="Fontepargpadro"/>
    <w:link w:val="Subttulo"/>
    <w:rsid w:val="00045965"/>
    <w:rPr>
      <w:b/>
      <w:bCs/>
      <w:sz w:val="24"/>
      <w:szCs w:val="24"/>
    </w:rPr>
  </w:style>
  <w:style w:type="character" w:customStyle="1" w:styleId="apple-converted-space">
    <w:name w:val="apple-converted-space"/>
    <w:basedOn w:val="Fontepargpadro"/>
    <w:rsid w:val="003C7654"/>
  </w:style>
  <w:style w:type="character" w:styleId="Forte">
    <w:name w:val="Strong"/>
    <w:basedOn w:val="Fontepargpadro"/>
    <w:uiPriority w:val="22"/>
    <w:qFormat/>
    <w:rsid w:val="003C76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258513">
      <w:bodyDiv w:val="1"/>
      <w:marLeft w:val="0"/>
      <w:marRight w:val="0"/>
      <w:marTop w:val="0"/>
      <w:marBottom w:val="0"/>
      <w:divBdr>
        <w:top w:val="none" w:sz="0" w:space="0" w:color="auto"/>
        <w:left w:val="none" w:sz="0" w:space="0" w:color="auto"/>
        <w:bottom w:val="none" w:sz="0" w:space="0" w:color="auto"/>
        <w:right w:val="none" w:sz="0" w:space="0" w:color="auto"/>
      </w:divBdr>
    </w:div>
    <w:div w:id="1231503287">
      <w:bodyDiv w:val="1"/>
      <w:marLeft w:val="0"/>
      <w:marRight w:val="0"/>
      <w:marTop w:val="0"/>
      <w:marBottom w:val="0"/>
      <w:divBdr>
        <w:top w:val="none" w:sz="0" w:space="0" w:color="auto"/>
        <w:left w:val="none" w:sz="0" w:space="0" w:color="auto"/>
        <w:bottom w:val="none" w:sz="0" w:space="0" w:color="auto"/>
        <w:right w:val="none" w:sz="0" w:space="0" w:color="auto"/>
      </w:divBdr>
    </w:div>
    <w:div w:id="151722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60222-0C26-4EB4-8715-2964457F4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6</Pages>
  <Words>1841</Words>
  <Characters>11285</Characters>
  <Application>Microsoft Office Word</Application>
  <DocSecurity>2</DocSecurity>
  <Lines>94</Lines>
  <Paragraphs>26</Paragraphs>
  <ScaleCrop>false</ScaleCrop>
  <HeadingPairs>
    <vt:vector size="2" baseType="variant">
      <vt:variant>
        <vt:lpstr>Título</vt:lpstr>
      </vt:variant>
      <vt:variant>
        <vt:i4>1</vt:i4>
      </vt:variant>
    </vt:vector>
  </HeadingPairs>
  <TitlesOfParts>
    <vt:vector size="1" baseType="lpstr">
      <vt:lpstr>PG-01 -  Planejamento</vt:lpstr>
    </vt:vector>
  </TitlesOfParts>
  <Company>M&amp;F Consultoria Ltda</Company>
  <LinksUpToDate>false</LinksUpToDate>
  <CharactersWithSpaces>13100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PG-01 -  Planejamento</dc:title>
  <dc:creator>Guaraci Silva da Fonseca</dc:creator>
  <dc:description>Documento elaborado para atendimento ao Contrato 4570011087-530</dc:description>
  <cp:lastModifiedBy>Coneppc</cp:lastModifiedBy>
  <cp:revision>10</cp:revision>
  <cp:lastPrinted>2016-11-22T17:38:00Z</cp:lastPrinted>
  <dcterms:created xsi:type="dcterms:W3CDTF">2016-11-16T11:30:00Z</dcterms:created>
  <dcterms:modified xsi:type="dcterms:W3CDTF">2017-01-13T16:49:00Z</dcterms:modified>
</cp:coreProperties>
</file>